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-.000001pt;margin-top:0pt;width:595.5pt;height:708.05pt;mso-position-horizontal-relative:page;mso-position-vertical-relative:page;z-index:-15757312" coordorigin="0,0" coordsize="11910,14161">
            <v:rect style="position:absolute;left:0;top:0;width:11910;height:4526" filled="true" fillcolor="#c7d0d8" stroked="false">
              <v:fill type="solid"/>
            </v:rect>
            <v:rect style="position:absolute;left:0;top:4525;width:11910;height:2835" filled="true" fillcolor="#0d4ea8" stroked="false">
              <v:fill type="solid"/>
            </v:rect>
            <v:shape style="position:absolute;left:0;top:7359;width:11910;height:6801" type="#_x0000_t75" stroked="false">
              <v:imagedata r:id="rId5" o:title=""/>
            </v:shape>
            <v:shape style="position:absolute;left:0;top:0;width:11910;height:4531" type="#_x0000_t75" stroked="false">
              <v:imagedata r:id="rId6" o:title=""/>
            </v:shape>
            <v:shape style="position:absolute;left:0;top:2635;width:4459;height:1735" coordorigin="0,2635" coordsize="4459,1735" path="m4268,3574l0,3574,0,4370,4268,4370,4268,3574xm4458,2635l0,2635,0,3431,4458,3431,4458,2635xe" filled="true" fillcolor="#e3b061" stroked="false">
              <v:path arrowok="t"/>
              <v:fill type="solid"/>
            </v:shape>
            <v:shape style="position:absolute;left:9056;top:0;width:2853;height:2192" type="#_x0000_t75" stroked="false">
              <v:imagedata r:id="rId7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  <w:spacing w:line="489" w:lineRule="auto"/>
      </w:pPr>
      <w:r>
        <w:rPr>
          <w:color w:val="FFFFFF"/>
        </w:rPr>
        <w:t>Date: 8 September 2022</w:t>
      </w:r>
      <w:r>
        <w:rPr>
          <w:color w:val="FFFFFF"/>
          <w:spacing w:val="-112"/>
        </w:rPr>
        <w:t> </w:t>
      </w:r>
      <w:r>
        <w:rPr>
          <w:color w:val="FFFFFF"/>
          <w:w w:val="99"/>
        </w:rPr>
        <w:t>3</w:t>
      </w:r>
      <w:r>
        <w:rPr>
          <w:color w:val="FFFFFF"/>
          <w:spacing w:val="-12"/>
        </w:rPr>
        <w:t> </w:t>
      </w:r>
      <w:r>
        <w:rPr>
          <w:color w:val="FFFFFF"/>
          <w:spacing w:val="-1"/>
          <w:w w:val="94"/>
        </w:rPr>
        <w:t>P</w:t>
      </w:r>
      <w:r>
        <w:rPr>
          <w:color w:val="FFFFFF"/>
          <w:w w:val="110"/>
        </w:rPr>
        <w:t>M</w:t>
      </w:r>
      <w:r>
        <w:rPr>
          <w:color w:val="FFFFFF"/>
          <w:spacing w:val="-12"/>
        </w:rPr>
        <w:t> </w:t>
      </w:r>
      <w:r>
        <w:rPr>
          <w:color w:val="FFFFFF"/>
          <w:w w:val="83"/>
        </w:rPr>
        <w:t>t</w:t>
      </w:r>
      <w:r>
        <w:rPr>
          <w:color w:val="FFFFFF"/>
          <w:w w:val="102"/>
        </w:rPr>
        <w:t>o</w:t>
      </w:r>
      <w:r>
        <w:rPr>
          <w:color w:val="FFFFFF"/>
          <w:spacing w:val="-12"/>
        </w:rPr>
        <w:t> </w:t>
      </w:r>
      <w:r>
        <w:rPr>
          <w:color w:val="FFFFFF"/>
          <w:spacing w:val="-1"/>
          <w:w w:val="115"/>
        </w:rPr>
        <w:t>4</w:t>
      </w:r>
      <w:r>
        <w:rPr>
          <w:color w:val="FFFFFF"/>
          <w:w w:val="72"/>
        </w:rPr>
        <w:t>.</w:t>
      </w:r>
      <w:r>
        <w:rPr>
          <w:color w:val="FFFFFF"/>
          <w:w w:val="54"/>
        </w:rPr>
        <w:t>1</w:t>
      </w:r>
      <w:r>
        <w:rPr>
          <w:color w:val="FFFFFF"/>
          <w:w w:val="106"/>
        </w:rPr>
        <w:t>0</w:t>
      </w:r>
      <w:r>
        <w:rPr>
          <w:color w:val="FFFFFF"/>
          <w:spacing w:val="-12"/>
        </w:rPr>
        <w:t> </w:t>
      </w:r>
      <w:r>
        <w:rPr>
          <w:color w:val="FFFFFF"/>
          <w:spacing w:val="-1"/>
          <w:w w:val="94"/>
        </w:rPr>
        <w:t>P</w:t>
      </w:r>
      <w:r>
        <w:rPr>
          <w:color w:val="FFFFFF"/>
          <w:w w:val="110"/>
        </w:rPr>
        <w:t>M</w:t>
      </w:r>
      <w:r>
        <w:rPr>
          <w:color w:val="FFFFFF"/>
          <w:spacing w:val="-12"/>
        </w:rPr>
        <w:t> </w:t>
      </w:r>
      <w:r>
        <w:rPr>
          <w:color w:val="FFFFFF"/>
          <w:spacing w:val="-1"/>
          <w:w w:val="95"/>
        </w:rPr>
        <w:t>F</w:t>
      </w:r>
      <w:r>
        <w:rPr>
          <w:color w:val="FFFFFF"/>
          <w:w w:val="80"/>
        </w:rPr>
        <w:t>i</w:t>
      </w:r>
      <w:r>
        <w:rPr>
          <w:color w:val="FFFFFF"/>
          <w:w w:val="64"/>
        </w:rPr>
        <w:t>j</w:t>
      </w:r>
      <w:r>
        <w:rPr>
          <w:color w:val="FFFFFF"/>
          <w:w w:val="80"/>
        </w:rPr>
        <w:t>i</w:t>
      </w:r>
      <w:r>
        <w:rPr>
          <w:color w:val="FFFFFF"/>
          <w:spacing w:val="-12"/>
        </w:rPr>
        <w:t> </w:t>
      </w:r>
      <w:r>
        <w:rPr>
          <w:color w:val="FFFFFF"/>
          <w:spacing w:val="-1"/>
          <w:w w:val="75"/>
        </w:rPr>
        <w:t>T</w:t>
      </w:r>
      <w:r>
        <w:rPr>
          <w:color w:val="FFFFFF"/>
          <w:w w:val="80"/>
        </w:rPr>
        <w:t>i</w:t>
      </w:r>
      <w:r>
        <w:rPr>
          <w:color w:val="FFFFFF"/>
          <w:spacing w:val="-1"/>
          <w:w w:val="91"/>
        </w:rPr>
        <w:t>m</w:t>
      </w:r>
      <w:r>
        <w:rPr>
          <w:color w:val="FFFFFF"/>
          <w:w w:val="99"/>
        </w:rPr>
        <w:t>e</w:t>
      </w:r>
    </w:p>
    <w:p>
      <w:pPr>
        <w:spacing w:line="285" w:lineRule="auto" w:before="69"/>
        <w:ind w:left="310" w:right="300" w:hanging="93"/>
        <w:jc w:val="both"/>
        <w:rPr>
          <w:b/>
          <w:i/>
          <w:sz w:val="48"/>
        </w:rPr>
      </w:pPr>
      <w:r>
        <w:rPr>
          <w:b/>
          <w:color w:val="FFFFFF"/>
          <w:spacing w:val="-1"/>
          <w:sz w:val="54"/>
        </w:rPr>
        <w:t>Disaster</w:t>
      </w:r>
      <w:r>
        <w:rPr>
          <w:b/>
          <w:color w:val="FFFFFF"/>
          <w:spacing w:val="-40"/>
          <w:sz w:val="54"/>
        </w:rPr>
        <w:t> </w:t>
      </w:r>
      <w:r>
        <w:rPr>
          <w:b/>
          <w:color w:val="FFFFFF"/>
          <w:spacing w:val="-1"/>
          <w:sz w:val="54"/>
        </w:rPr>
        <w:t>Risk</w:t>
      </w:r>
      <w:r>
        <w:rPr>
          <w:b/>
          <w:color w:val="FFFFFF"/>
          <w:spacing w:val="-39"/>
          <w:sz w:val="54"/>
        </w:rPr>
        <w:t> </w:t>
      </w:r>
      <w:r>
        <w:rPr>
          <w:b/>
          <w:color w:val="FFFFFF"/>
          <w:spacing w:val="-1"/>
          <w:sz w:val="54"/>
        </w:rPr>
        <w:t>Financing</w:t>
      </w:r>
      <w:r>
        <w:rPr>
          <w:b/>
          <w:color w:val="FFFFFF"/>
          <w:spacing w:val="-40"/>
          <w:sz w:val="54"/>
        </w:rPr>
        <w:t> </w:t>
      </w:r>
      <w:r>
        <w:rPr>
          <w:b/>
          <w:color w:val="FFFFFF"/>
          <w:sz w:val="54"/>
        </w:rPr>
        <w:t>(DRF)</w:t>
      </w:r>
      <w:r>
        <w:rPr>
          <w:b/>
          <w:color w:val="FFFFFF"/>
          <w:spacing w:val="-39"/>
          <w:sz w:val="54"/>
        </w:rPr>
        <w:t> </w:t>
      </w:r>
      <w:r>
        <w:rPr>
          <w:b/>
          <w:color w:val="FFFFFF"/>
          <w:sz w:val="54"/>
        </w:rPr>
        <w:t>Learning</w:t>
      </w:r>
      <w:r>
        <w:rPr>
          <w:b/>
          <w:color w:val="FFFFFF"/>
          <w:spacing w:val="-40"/>
          <w:sz w:val="54"/>
        </w:rPr>
        <w:t> </w:t>
      </w:r>
      <w:r>
        <w:rPr>
          <w:b/>
          <w:color w:val="FFFFFF"/>
          <w:sz w:val="54"/>
        </w:rPr>
        <w:t>Series</w:t>
      </w:r>
      <w:r>
        <w:rPr>
          <w:b/>
          <w:color w:val="FFFFFF"/>
          <w:spacing w:val="-160"/>
          <w:sz w:val="54"/>
        </w:rPr>
        <w:t> </w:t>
      </w:r>
      <w:r>
        <w:rPr>
          <w:b/>
          <w:color w:val="FFFFFF"/>
          <w:sz w:val="48"/>
        </w:rPr>
        <w:t>Virtual</w:t>
      </w:r>
      <w:r>
        <w:rPr>
          <w:b/>
          <w:color w:val="FFFFFF"/>
          <w:spacing w:val="-24"/>
          <w:sz w:val="48"/>
        </w:rPr>
        <w:t> </w:t>
      </w:r>
      <w:r>
        <w:rPr>
          <w:b/>
          <w:color w:val="FFFFFF"/>
          <w:sz w:val="48"/>
        </w:rPr>
        <w:t>Learning</w:t>
      </w:r>
      <w:r>
        <w:rPr>
          <w:b/>
          <w:color w:val="FFFFFF"/>
          <w:spacing w:val="-24"/>
          <w:sz w:val="48"/>
        </w:rPr>
        <w:t> </w:t>
      </w:r>
      <w:r>
        <w:rPr>
          <w:b/>
          <w:color w:val="FFFFFF"/>
          <w:sz w:val="48"/>
        </w:rPr>
        <w:t>Episode</w:t>
      </w:r>
      <w:r>
        <w:rPr>
          <w:b/>
          <w:color w:val="FFFFFF"/>
          <w:spacing w:val="-24"/>
          <w:sz w:val="48"/>
        </w:rPr>
        <w:t> </w:t>
      </w:r>
      <w:r>
        <w:rPr>
          <w:b/>
          <w:color w:val="FFFFFF"/>
          <w:sz w:val="48"/>
        </w:rPr>
        <w:t>3</w:t>
      </w:r>
      <w:r>
        <w:rPr>
          <w:b/>
          <w:color w:val="FFFFFF"/>
          <w:spacing w:val="-23"/>
          <w:sz w:val="48"/>
        </w:rPr>
        <w:t> </w:t>
      </w:r>
      <w:r>
        <w:rPr>
          <w:b/>
          <w:i/>
          <w:color w:val="FFFFFF"/>
          <w:sz w:val="48"/>
        </w:rPr>
        <w:t>-</w:t>
      </w:r>
      <w:r>
        <w:rPr>
          <w:b/>
          <w:i/>
          <w:color w:val="FFFFFF"/>
          <w:spacing w:val="-24"/>
          <w:sz w:val="48"/>
        </w:rPr>
        <w:t> </w:t>
      </w:r>
      <w:r>
        <w:rPr>
          <w:b/>
          <w:i/>
          <w:color w:val="FFFFFF"/>
          <w:sz w:val="48"/>
        </w:rPr>
        <w:t>Absorbing</w:t>
      </w:r>
      <w:r>
        <w:rPr>
          <w:b/>
          <w:i/>
          <w:color w:val="FFFFFF"/>
          <w:spacing w:val="-24"/>
          <w:sz w:val="48"/>
        </w:rPr>
        <w:t> </w:t>
      </w:r>
      <w:r>
        <w:rPr>
          <w:b/>
          <w:i/>
          <w:color w:val="FFFFFF"/>
          <w:sz w:val="48"/>
        </w:rPr>
        <w:t>the</w:t>
      </w:r>
      <w:r>
        <w:rPr>
          <w:b/>
          <w:i/>
          <w:color w:val="FFFFFF"/>
          <w:spacing w:val="-23"/>
          <w:sz w:val="48"/>
        </w:rPr>
        <w:t> </w:t>
      </w:r>
      <w:r>
        <w:rPr>
          <w:b/>
          <w:i/>
          <w:color w:val="FFFFFF"/>
          <w:sz w:val="48"/>
        </w:rPr>
        <w:t>cost</w:t>
      </w:r>
      <w:r>
        <w:rPr>
          <w:b/>
          <w:i/>
          <w:color w:val="FFFFFF"/>
          <w:spacing w:val="-24"/>
          <w:sz w:val="48"/>
        </w:rPr>
        <w:t> </w:t>
      </w:r>
      <w:r>
        <w:rPr>
          <w:b/>
          <w:i/>
          <w:color w:val="FFFFFF"/>
          <w:sz w:val="48"/>
        </w:rPr>
        <w:t>of</w:t>
      </w:r>
      <w:r>
        <w:rPr>
          <w:b/>
          <w:i/>
          <w:color w:val="FFFFFF"/>
          <w:spacing w:val="-142"/>
          <w:sz w:val="48"/>
        </w:rPr>
        <w:t> </w:t>
      </w:r>
      <w:r>
        <w:rPr>
          <w:b/>
          <w:i/>
          <w:color w:val="FFFFFF"/>
          <w:w w:val="95"/>
          <w:sz w:val="48"/>
        </w:rPr>
        <w:t>disasters:</w:t>
      </w:r>
      <w:r>
        <w:rPr>
          <w:b/>
          <w:i/>
          <w:color w:val="FFFFFF"/>
          <w:spacing w:val="17"/>
          <w:w w:val="95"/>
          <w:sz w:val="48"/>
        </w:rPr>
        <w:t> </w:t>
      </w:r>
      <w:r>
        <w:rPr>
          <w:b/>
          <w:i/>
          <w:color w:val="FFFFFF"/>
          <w:w w:val="95"/>
          <w:sz w:val="48"/>
        </w:rPr>
        <w:t>risk</w:t>
      </w:r>
      <w:r>
        <w:rPr>
          <w:b/>
          <w:i/>
          <w:color w:val="FFFFFF"/>
          <w:spacing w:val="8"/>
          <w:w w:val="95"/>
          <w:sz w:val="48"/>
        </w:rPr>
        <w:t> </w:t>
      </w:r>
      <w:r>
        <w:rPr>
          <w:b/>
          <w:i/>
          <w:color w:val="FFFFFF"/>
          <w:w w:val="95"/>
          <w:sz w:val="48"/>
        </w:rPr>
        <w:t>retention</w:t>
      </w:r>
      <w:r>
        <w:rPr>
          <w:b/>
          <w:i/>
          <w:color w:val="FFFFFF"/>
          <w:spacing w:val="8"/>
          <w:w w:val="95"/>
          <w:sz w:val="48"/>
        </w:rPr>
        <w:t> </w:t>
      </w:r>
      <w:r>
        <w:rPr>
          <w:b/>
          <w:i/>
          <w:color w:val="FFFFFF"/>
          <w:w w:val="95"/>
          <w:sz w:val="48"/>
        </w:rPr>
        <w:t>instruments</w:t>
      </w:r>
      <w:r>
        <w:rPr>
          <w:b/>
          <w:i/>
          <w:color w:val="FFFFFF"/>
          <w:spacing w:val="9"/>
          <w:w w:val="95"/>
          <w:sz w:val="48"/>
        </w:rPr>
        <w:t> </w:t>
      </w:r>
      <w:r>
        <w:rPr>
          <w:b/>
          <w:i/>
          <w:color w:val="FFFFFF"/>
          <w:w w:val="95"/>
          <w:sz w:val="48"/>
        </w:rPr>
        <w:t>in</w:t>
      </w:r>
      <w:r>
        <w:rPr>
          <w:b/>
          <w:i/>
          <w:color w:val="FFFFFF"/>
          <w:spacing w:val="8"/>
          <w:w w:val="95"/>
          <w:sz w:val="48"/>
        </w:rPr>
        <w:t> </w:t>
      </w:r>
      <w:r>
        <w:rPr>
          <w:b/>
          <w:i/>
          <w:color w:val="FFFFFF"/>
          <w:w w:val="95"/>
          <w:sz w:val="48"/>
        </w:rPr>
        <w:t>the</w:t>
      </w:r>
      <w:r>
        <w:rPr>
          <w:b/>
          <w:i/>
          <w:color w:val="FFFFFF"/>
          <w:spacing w:val="9"/>
          <w:w w:val="95"/>
          <w:sz w:val="48"/>
        </w:rPr>
        <w:t> </w:t>
      </w:r>
      <w:r>
        <w:rPr>
          <w:b/>
          <w:i/>
          <w:color w:val="FFFFFF"/>
          <w:w w:val="95"/>
          <w:sz w:val="48"/>
        </w:rPr>
        <w:t>Pacific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7"/>
        </w:rPr>
      </w:pPr>
    </w:p>
    <w:p>
      <w:pPr>
        <w:pStyle w:val="BodyText"/>
        <w:spacing w:line="288" w:lineRule="auto" w:before="104"/>
        <w:ind w:left="246" w:right="101"/>
        <w:jc w:val="both"/>
      </w:pPr>
      <w:r>
        <w:rPr/>
        <w:t>Many Pacific governments must manage the cost of disasters using available public funds,</w:t>
      </w:r>
      <w:r>
        <w:rPr>
          <w:spacing w:val="1"/>
        </w:rPr>
        <w:t> </w:t>
      </w:r>
      <w:r>
        <w:rPr/>
        <w:t>especially in the aftermath of recurrent low-severity events. However sometimes it is</w:t>
      </w:r>
      <w:r>
        <w:rPr>
          <w:spacing w:val="1"/>
        </w:rPr>
        <w:t> </w:t>
      </w:r>
      <w:r>
        <w:rPr/>
        <w:t>challenging for Pacific Island Countries (PICs) to ensure that these national funds are</w:t>
      </w:r>
      <w:r>
        <w:rPr>
          <w:spacing w:val="1"/>
        </w:rPr>
        <w:t> </w:t>
      </w:r>
      <w:r>
        <w:rPr/>
        <w:t>adequately and timely resourced. It is not uncommon that a disaster hits a PIC before</w:t>
      </w:r>
      <w:r>
        <w:rPr>
          <w:spacing w:val="1"/>
        </w:rPr>
        <w:t> </w:t>
      </w:r>
      <w:r>
        <w:rPr/>
        <w:t>recovering from a previous one, which already reduced development gains and raised the</w:t>
      </w:r>
      <w:r>
        <w:rPr>
          <w:spacing w:val="1"/>
        </w:rPr>
        <w:t> </w:t>
      </w:r>
      <w:r>
        <w:rPr/>
        <w:t>costs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development.</w:t>
      </w:r>
    </w:p>
    <w:p>
      <w:pPr>
        <w:pStyle w:val="BodyText"/>
        <w:spacing w:before="8"/>
        <w:rPr>
          <w:sz w:val="33"/>
        </w:rPr>
      </w:pPr>
    </w:p>
    <w:p>
      <w:pPr>
        <w:pStyle w:val="BodyText"/>
        <w:spacing w:line="288" w:lineRule="auto"/>
        <w:ind w:left="246" w:right="106"/>
        <w:jc w:val="both"/>
      </w:pPr>
      <w:r>
        <w:rPr/>
        <w:t>The</w:t>
      </w:r>
      <w:r>
        <w:rPr>
          <w:spacing w:val="-10"/>
        </w:rPr>
        <w:t> </w:t>
      </w:r>
      <w:r>
        <w:rPr/>
        <w:t>Disaster</w:t>
      </w:r>
      <w:r>
        <w:rPr>
          <w:spacing w:val="-10"/>
        </w:rPr>
        <w:t> </w:t>
      </w:r>
      <w:r>
        <w:rPr/>
        <w:t>Risk</w:t>
      </w:r>
      <w:r>
        <w:rPr>
          <w:spacing w:val="-10"/>
        </w:rPr>
        <w:t> </w:t>
      </w:r>
      <w:r>
        <w:rPr/>
        <w:t>Financing</w:t>
      </w:r>
      <w:r>
        <w:rPr>
          <w:spacing w:val="-9"/>
        </w:rPr>
        <w:t> </w:t>
      </w:r>
      <w:r>
        <w:rPr/>
        <w:t>(DRF)</w:t>
      </w:r>
      <w:r>
        <w:rPr>
          <w:spacing w:val="-10"/>
        </w:rPr>
        <w:t> </w:t>
      </w:r>
      <w:r>
        <w:rPr/>
        <w:t>Learning</w:t>
      </w:r>
      <w:r>
        <w:rPr>
          <w:spacing w:val="-10"/>
        </w:rPr>
        <w:t> </w:t>
      </w:r>
      <w:r>
        <w:rPr/>
        <w:t>Series</w:t>
      </w:r>
      <w:r>
        <w:rPr>
          <w:spacing w:val="-9"/>
        </w:rPr>
        <w:t> </w:t>
      </w:r>
      <w:r>
        <w:rPr/>
        <w:t>is</w:t>
      </w:r>
      <w:r>
        <w:rPr>
          <w:spacing w:val="-10"/>
        </w:rPr>
        <w:t> </w:t>
      </w:r>
      <w:r>
        <w:rPr/>
        <w:t>organized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will</w:t>
      </w:r>
      <w:r>
        <w:rPr>
          <w:spacing w:val="-10"/>
        </w:rPr>
        <w:t> </w:t>
      </w:r>
      <w:r>
        <w:rPr/>
        <w:t>be</w:t>
      </w:r>
      <w:r>
        <w:rPr>
          <w:spacing w:val="-10"/>
        </w:rPr>
        <w:t> </w:t>
      </w:r>
      <w:r>
        <w:rPr/>
        <w:t>facilitated</w:t>
      </w:r>
      <w:r>
        <w:rPr>
          <w:spacing w:val="-10"/>
        </w:rPr>
        <w:t> </w:t>
      </w:r>
      <w:r>
        <w:rPr/>
        <w:t>by</w:t>
      </w:r>
      <w:r>
        <w:rPr>
          <w:spacing w:val="-9"/>
        </w:rPr>
        <w:t> </w:t>
      </w:r>
      <w:r>
        <w:rPr/>
        <w:t>the</w:t>
      </w:r>
      <w:r>
        <w:rPr>
          <w:spacing w:val="-82"/>
        </w:rPr>
        <w:t> </w:t>
      </w:r>
      <w:r>
        <w:rPr>
          <w:w w:val="95"/>
        </w:rPr>
        <w:t>members</w:t>
      </w:r>
      <w:r>
        <w:rPr>
          <w:spacing w:val="-12"/>
          <w:w w:val="95"/>
        </w:rPr>
        <w:t> </w:t>
      </w:r>
      <w:r>
        <w:rPr>
          <w:w w:val="95"/>
        </w:rPr>
        <w:t>of</w:t>
      </w:r>
      <w:r>
        <w:rPr>
          <w:spacing w:val="-11"/>
          <w:w w:val="95"/>
        </w:rPr>
        <w:t> </w:t>
      </w:r>
      <w:r>
        <w:rPr>
          <w:w w:val="95"/>
        </w:rPr>
        <w:t>the</w:t>
      </w:r>
      <w:r>
        <w:rPr>
          <w:spacing w:val="-11"/>
          <w:w w:val="95"/>
        </w:rPr>
        <w:t> </w:t>
      </w:r>
      <w:r>
        <w:rPr>
          <w:w w:val="95"/>
        </w:rPr>
        <w:t>Pacific</w:t>
      </w:r>
      <w:r>
        <w:rPr>
          <w:spacing w:val="-11"/>
          <w:w w:val="95"/>
        </w:rPr>
        <w:t> </w:t>
      </w:r>
      <w:r>
        <w:rPr>
          <w:w w:val="95"/>
        </w:rPr>
        <w:t>Resilience</w:t>
      </w:r>
      <w:r>
        <w:rPr>
          <w:spacing w:val="-11"/>
          <w:w w:val="95"/>
        </w:rPr>
        <w:t> </w:t>
      </w:r>
      <w:r>
        <w:rPr>
          <w:w w:val="95"/>
        </w:rPr>
        <w:t>Partnership</w:t>
      </w:r>
      <w:r>
        <w:rPr>
          <w:spacing w:val="-11"/>
          <w:w w:val="95"/>
        </w:rPr>
        <w:t> </w:t>
      </w:r>
      <w:r>
        <w:rPr>
          <w:w w:val="95"/>
        </w:rPr>
        <w:t>(PRP)</w:t>
      </w:r>
      <w:r>
        <w:rPr>
          <w:spacing w:val="-11"/>
          <w:w w:val="95"/>
        </w:rPr>
        <w:t> </w:t>
      </w:r>
      <w:r>
        <w:rPr>
          <w:w w:val="95"/>
        </w:rPr>
        <w:t>Technical</w:t>
      </w:r>
      <w:r>
        <w:rPr>
          <w:spacing w:val="-11"/>
          <w:w w:val="95"/>
        </w:rPr>
        <w:t> </w:t>
      </w:r>
      <w:r>
        <w:rPr>
          <w:w w:val="95"/>
        </w:rPr>
        <w:t>Working</w:t>
      </w:r>
      <w:r>
        <w:rPr>
          <w:spacing w:val="-11"/>
          <w:w w:val="95"/>
        </w:rPr>
        <w:t> </w:t>
      </w:r>
      <w:r>
        <w:rPr>
          <w:w w:val="95"/>
        </w:rPr>
        <w:t>Group</w:t>
      </w:r>
      <w:r>
        <w:rPr>
          <w:spacing w:val="-12"/>
          <w:w w:val="95"/>
        </w:rPr>
        <w:t> </w:t>
      </w:r>
      <w:r>
        <w:rPr>
          <w:w w:val="95"/>
        </w:rPr>
        <w:t>on</w:t>
      </w:r>
      <w:r>
        <w:rPr>
          <w:spacing w:val="-11"/>
          <w:w w:val="95"/>
        </w:rPr>
        <w:t> </w:t>
      </w:r>
      <w:r>
        <w:rPr>
          <w:w w:val="95"/>
        </w:rPr>
        <w:t>DRF.</w:t>
      </w:r>
      <w:r>
        <w:rPr>
          <w:spacing w:val="-11"/>
          <w:w w:val="95"/>
        </w:rPr>
        <w:t> </w:t>
      </w:r>
      <w:r>
        <w:rPr>
          <w:w w:val="95"/>
        </w:rPr>
        <w:t>The</w:t>
      </w:r>
      <w:r>
        <w:rPr>
          <w:spacing w:val="-11"/>
          <w:w w:val="95"/>
        </w:rPr>
        <w:t> </w:t>
      </w:r>
      <w:r>
        <w:rPr>
          <w:w w:val="95"/>
        </w:rPr>
        <w:t>third</w:t>
      </w:r>
      <w:r>
        <w:rPr>
          <w:spacing w:val="-78"/>
          <w:w w:val="95"/>
        </w:rPr>
        <w:t> </w:t>
      </w:r>
      <w:r>
        <w:rPr>
          <w:w w:val="95"/>
        </w:rPr>
        <w:t>Virtual Learning Episode will explore which different risk retention instruments are available in</w:t>
      </w:r>
      <w:r>
        <w:rPr>
          <w:spacing w:val="-78"/>
          <w:w w:val="95"/>
        </w:rPr>
        <w:t> </w:t>
      </w:r>
      <w:r>
        <w:rPr/>
        <w:t>the</w:t>
      </w:r>
      <w:r>
        <w:rPr>
          <w:spacing w:val="-8"/>
        </w:rPr>
        <w:t> </w:t>
      </w:r>
      <w:r>
        <w:rPr/>
        <w:t>Pacific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how</w:t>
      </w:r>
      <w:r>
        <w:rPr>
          <w:spacing w:val="-7"/>
        </w:rPr>
        <w:t> </w:t>
      </w:r>
      <w:r>
        <w:rPr/>
        <w:t>it</w:t>
      </w:r>
      <w:r>
        <w:rPr>
          <w:spacing w:val="-7"/>
        </w:rPr>
        <w:t> </w:t>
      </w:r>
      <w:r>
        <w:rPr/>
        <w:t>complements</w:t>
      </w:r>
      <w:r>
        <w:rPr>
          <w:spacing w:val="-7"/>
        </w:rPr>
        <w:t> </w:t>
      </w:r>
      <w:r>
        <w:rPr/>
        <w:t>other</w:t>
      </w:r>
      <w:r>
        <w:rPr>
          <w:spacing w:val="-7"/>
        </w:rPr>
        <w:t> </w:t>
      </w:r>
      <w:r>
        <w:rPr/>
        <w:t>types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development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disaster</w:t>
      </w:r>
      <w:r>
        <w:rPr>
          <w:spacing w:val="-7"/>
        </w:rPr>
        <w:t> </w:t>
      </w:r>
      <w:r>
        <w:rPr/>
        <w:t>risk</w:t>
      </w:r>
      <w:r>
        <w:rPr>
          <w:spacing w:val="-7"/>
        </w:rPr>
        <w:t> </w:t>
      </w:r>
      <w:r>
        <w:rPr/>
        <w:t>financing</w:t>
      </w:r>
      <w:r>
        <w:rPr>
          <w:spacing w:val="-82"/>
        </w:rPr>
        <w:t> </w:t>
      </w:r>
      <w:r>
        <w:rPr>
          <w:w w:val="95"/>
        </w:rPr>
        <w:t>instruments</w:t>
      </w:r>
      <w:r>
        <w:rPr>
          <w:spacing w:val="-6"/>
          <w:w w:val="95"/>
        </w:rPr>
        <w:t> </w:t>
      </w:r>
      <w:r>
        <w:rPr>
          <w:w w:val="95"/>
        </w:rPr>
        <w:t>that</w:t>
      </w:r>
      <w:r>
        <w:rPr>
          <w:spacing w:val="-6"/>
          <w:w w:val="95"/>
        </w:rPr>
        <w:t> </w:t>
      </w:r>
      <w:r>
        <w:rPr>
          <w:w w:val="95"/>
        </w:rPr>
        <w:t>PICs</w:t>
      </w:r>
      <w:r>
        <w:rPr>
          <w:spacing w:val="-5"/>
          <w:w w:val="95"/>
        </w:rPr>
        <w:t> </w:t>
      </w:r>
      <w:r>
        <w:rPr>
          <w:w w:val="95"/>
        </w:rPr>
        <w:t>have</w:t>
      </w:r>
      <w:r>
        <w:rPr>
          <w:spacing w:val="-6"/>
          <w:w w:val="95"/>
        </w:rPr>
        <w:t> </w:t>
      </w:r>
      <w:r>
        <w:rPr>
          <w:w w:val="95"/>
        </w:rPr>
        <w:t>access</w:t>
      </w:r>
      <w:r>
        <w:rPr>
          <w:spacing w:val="-6"/>
          <w:w w:val="95"/>
        </w:rPr>
        <w:t> </w:t>
      </w:r>
      <w:r>
        <w:rPr>
          <w:w w:val="95"/>
        </w:rPr>
        <w:t>to.</w:t>
      </w:r>
      <w:r>
        <w:rPr>
          <w:spacing w:val="-5"/>
          <w:w w:val="95"/>
        </w:rPr>
        <w:t> </w:t>
      </w:r>
      <w:r>
        <w:rPr>
          <w:w w:val="95"/>
        </w:rPr>
        <w:t>Representatives</w:t>
      </w:r>
      <w:r>
        <w:rPr>
          <w:spacing w:val="-6"/>
          <w:w w:val="95"/>
        </w:rPr>
        <w:t> </w:t>
      </w:r>
      <w:r>
        <w:rPr>
          <w:w w:val="95"/>
        </w:rPr>
        <w:t>from</w:t>
      </w:r>
      <w:r>
        <w:rPr>
          <w:spacing w:val="-6"/>
          <w:w w:val="95"/>
        </w:rPr>
        <w:t> </w:t>
      </w:r>
      <w:r>
        <w:rPr>
          <w:w w:val="95"/>
        </w:rPr>
        <w:t>three</w:t>
      </w:r>
      <w:r>
        <w:rPr>
          <w:spacing w:val="-5"/>
          <w:w w:val="95"/>
        </w:rPr>
        <w:t> </w:t>
      </w:r>
      <w:r>
        <w:rPr>
          <w:w w:val="95"/>
        </w:rPr>
        <w:t>PICs</w:t>
      </w:r>
      <w:r>
        <w:rPr>
          <w:spacing w:val="-6"/>
          <w:w w:val="95"/>
        </w:rPr>
        <w:t> </w:t>
      </w:r>
      <w:r>
        <w:rPr>
          <w:w w:val="95"/>
        </w:rPr>
        <w:t>will</w:t>
      </w:r>
      <w:r>
        <w:rPr>
          <w:spacing w:val="-6"/>
          <w:w w:val="95"/>
        </w:rPr>
        <w:t> </w:t>
      </w:r>
      <w:r>
        <w:rPr>
          <w:w w:val="95"/>
        </w:rPr>
        <w:t>share</w:t>
      </w:r>
      <w:r>
        <w:rPr>
          <w:spacing w:val="-5"/>
          <w:w w:val="95"/>
        </w:rPr>
        <w:t> </w:t>
      </w:r>
      <w:r>
        <w:rPr>
          <w:w w:val="95"/>
        </w:rPr>
        <w:t>their</w:t>
      </w:r>
      <w:r>
        <w:rPr>
          <w:spacing w:val="-6"/>
          <w:w w:val="95"/>
        </w:rPr>
        <w:t> </w:t>
      </w:r>
      <w:r>
        <w:rPr>
          <w:w w:val="95"/>
        </w:rPr>
        <w:t>different</w:t>
      </w:r>
      <w:r>
        <w:rPr>
          <w:spacing w:val="-78"/>
          <w:w w:val="95"/>
        </w:rPr>
        <w:t> </w:t>
      </w:r>
      <w:r>
        <w:rPr/>
        <w:t>experience with establishing retention funds and discussing the importance but also</w:t>
      </w:r>
      <w:r>
        <w:rPr>
          <w:spacing w:val="1"/>
        </w:rPr>
        <w:t> </w:t>
      </w:r>
      <w:r>
        <w:rPr>
          <w:w w:val="95"/>
        </w:rPr>
        <w:t>challenges</w:t>
      </w:r>
      <w:r>
        <w:rPr>
          <w:spacing w:val="-4"/>
          <w:w w:val="95"/>
        </w:rPr>
        <w:t> </w:t>
      </w:r>
      <w:r>
        <w:rPr>
          <w:w w:val="95"/>
        </w:rPr>
        <w:t>in</w:t>
      </w:r>
      <w:r>
        <w:rPr>
          <w:spacing w:val="-3"/>
          <w:w w:val="95"/>
        </w:rPr>
        <w:t> </w:t>
      </w:r>
      <w:r>
        <w:rPr>
          <w:w w:val="95"/>
        </w:rPr>
        <w:t>setting</w:t>
      </w:r>
      <w:r>
        <w:rPr>
          <w:spacing w:val="-4"/>
          <w:w w:val="95"/>
        </w:rPr>
        <w:t> </w:t>
      </w:r>
      <w:r>
        <w:rPr>
          <w:w w:val="95"/>
        </w:rPr>
        <w:t>up</w:t>
      </w:r>
      <w:r>
        <w:rPr>
          <w:spacing w:val="-3"/>
          <w:w w:val="95"/>
        </w:rPr>
        <w:t> </w:t>
      </w:r>
      <w:r>
        <w:rPr>
          <w:w w:val="95"/>
        </w:rPr>
        <w:t>and</w:t>
      </w:r>
      <w:r>
        <w:rPr>
          <w:spacing w:val="-3"/>
          <w:w w:val="95"/>
        </w:rPr>
        <w:t> </w:t>
      </w:r>
      <w:r>
        <w:rPr>
          <w:w w:val="95"/>
        </w:rPr>
        <w:t>maintaining</w:t>
      </w:r>
      <w:r>
        <w:rPr>
          <w:spacing w:val="-4"/>
          <w:w w:val="95"/>
        </w:rPr>
        <w:t> </w:t>
      </w:r>
      <w:r>
        <w:rPr>
          <w:w w:val="95"/>
        </w:rPr>
        <w:t>contingency</w:t>
      </w:r>
      <w:r>
        <w:rPr>
          <w:spacing w:val="-3"/>
          <w:w w:val="95"/>
        </w:rPr>
        <w:t> </w:t>
      </w:r>
      <w:r>
        <w:rPr>
          <w:w w:val="95"/>
        </w:rPr>
        <w:t>funds</w:t>
      </w:r>
      <w:r>
        <w:rPr>
          <w:spacing w:val="-4"/>
          <w:w w:val="95"/>
        </w:rPr>
        <w:t> </w:t>
      </w:r>
      <w:r>
        <w:rPr>
          <w:w w:val="95"/>
        </w:rPr>
        <w:t>as</w:t>
      </w:r>
      <w:r>
        <w:rPr>
          <w:spacing w:val="-3"/>
          <w:w w:val="95"/>
        </w:rPr>
        <w:t> </w:t>
      </w:r>
      <w:r>
        <w:rPr>
          <w:w w:val="95"/>
        </w:rPr>
        <w:t>well</w:t>
      </w:r>
      <w:r>
        <w:rPr>
          <w:spacing w:val="-3"/>
          <w:w w:val="95"/>
        </w:rPr>
        <w:t> </w:t>
      </w:r>
      <w:r>
        <w:rPr>
          <w:w w:val="95"/>
        </w:rPr>
        <w:t>as</w:t>
      </w:r>
      <w:r>
        <w:rPr>
          <w:spacing w:val="-4"/>
          <w:w w:val="95"/>
        </w:rPr>
        <w:t> </w:t>
      </w:r>
      <w:r>
        <w:rPr>
          <w:w w:val="95"/>
        </w:rPr>
        <w:t>reserve</w:t>
      </w:r>
      <w:r>
        <w:rPr>
          <w:spacing w:val="-3"/>
          <w:w w:val="95"/>
        </w:rPr>
        <w:t> </w:t>
      </w:r>
      <w:r>
        <w:rPr>
          <w:w w:val="95"/>
        </w:rPr>
        <w:t>funds.</w:t>
      </w:r>
    </w:p>
    <w:p>
      <w:pPr>
        <w:pStyle w:val="BodyText"/>
        <w:spacing w:before="3"/>
        <w:rPr>
          <w:sz w:val="37"/>
        </w:rPr>
      </w:pPr>
    </w:p>
    <w:p>
      <w:pPr>
        <w:spacing w:before="0"/>
        <w:ind w:left="246" w:right="0" w:firstLine="0"/>
        <w:jc w:val="both"/>
        <w:rPr>
          <w:b/>
          <w:sz w:val="30"/>
        </w:rPr>
      </w:pPr>
      <w:r>
        <w:rPr>
          <w:b/>
          <w:sz w:val="30"/>
        </w:rPr>
        <w:t>Registration:</w:t>
      </w:r>
      <w:r>
        <w:rPr>
          <w:b/>
          <w:spacing w:val="-11"/>
          <w:sz w:val="30"/>
        </w:rPr>
        <w:t> </w:t>
      </w:r>
      <w:r>
        <w:rPr>
          <w:b/>
          <w:sz w:val="30"/>
        </w:rPr>
        <w:t>https://bit.ly/3cBsiA8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265772</wp:posOffset>
            </wp:positionH>
            <wp:positionV relativeFrom="paragraph">
              <wp:posOffset>228286</wp:posOffset>
            </wp:positionV>
            <wp:extent cx="971550" cy="971550"/>
            <wp:effectExtent l="0" t="0" r="0" b="0"/>
            <wp:wrapTopAndBottom/>
            <wp:docPr id="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2726062</wp:posOffset>
            </wp:positionH>
            <wp:positionV relativeFrom="paragraph">
              <wp:posOffset>392115</wp:posOffset>
            </wp:positionV>
            <wp:extent cx="1415627" cy="650748"/>
            <wp:effectExtent l="0" t="0" r="0" b="0"/>
            <wp:wrapTopAndBottom/>
            <wp:docPr id="3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627" cy="650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6195973</wp:posOffset>
            </wp:positionH>
            <wp:positionV relativeFrom="paragraph">
              <wp:posOffset>415810</wp:posOffset>
            </wp:positionV>
            <wp:extent cx="955179" cy="859155"/>
            <wp:effectExtent l="0" t="0" r="0" b="0"/>
            <wp:wrapTopAndBottom/>
            <wp:docPr id="5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179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50"/>
      <w:pgMar w:top="1600" w:bottom="0" w:left="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68"/>
      <w:ind w:left="42" w:right="7513" w:firstLine="83"/>
    </w:pPr>
    <w:rPr>
      <w:rFonts w:ascii="Trebuchet MS" w:hAnsi="Trebuchet MS" w:eastAsia="Trebuchet MS" w:cs="Trebuchet MS"/>
      <w:sz w:val="38"/>
      <w:szCs w:val="3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Tohaimae</dc:creator>
  <cp:keywords>DAE7vQOhF-0,BAERFYrBP6o</cp:keywords>
  <dc:title>DRF Learning Series-flyer</dc:title>
  <dcterms:created xsi:type="dcterms:W3CDTF">2022-09-07T19:30:23Z</dcterms:created>
  <dcterms:modified xsi:type="dcterms:W3CDTF">2022-09-07T19:30:23Z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Canva</vt:lpwstr>
  </property>
  <property fmtid="{D5CDD505-2E9C-101B-9397-08002B2CF9AE}" pid="4" name="LastSaved">
    <vt:filetime>2022-09-05T00:00:00Z</vt:filetime>
  </property>
</Properties>
</file>