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879B6" w14:textId="1991B7DE" w:rsidR="004112A3" w:rsidRPr="005E19C3" w:rsidRDefault="00F51DB0" w:rsidP="00170392">
      <w:pPr>
        <w:pStyle w:val="Heading2"/>
        <w:jc w:val="center"/>
        <w:rPr>
          <w:lang w:val="en-US"/>
        </w:rPr>
      </w:pPr>
      <w:bookmarkStart w:id="0" w:name="_GoBack"/>
      <w:bookmarkEnd w:id="0"/>
      <w:r w:rsidRPr="005E19C3">
        <w:rPr>
          <w:lang w:val="en-US"/>
        </w:rPr>
        <w:t>O</w:t>
      </w:r>
      <w:r w:rsidR="004112A3" w:rsidRPr="005E19C3">
        <w:rPr>
          <w:lang w:val="en-US"/>
        </w:rPr>
        <w:t xml:space="preserve">nline </w:t>
      </w:r>
      <w:r w:rsidR="00611024" w:rsidRPr="005E19C3">
        <w:rPr>
          <w:lang w:val="en-US"/>
        </w:rPr>
        <w:t xml:space="preserve">regional </w:t>
      </w:r>
      <w:r w:rsidR="005B7A38" w:rsidRPr="005E19C3">
        <w:rPr>
          <w:lang w:val="en-US"/>
        </w:rPr>
        <w:t>consultations</w:t>
      </w:r>
      <w:r w:rsidR="004112A3" w:rsidRPr="005E19C3">
        <w:rPr>
          <w:lang w:val="en-US"/>
        </w:rPr>
        <w:t xml:space="preserve"> with </w:t>
      </w:r>
      <w:r w:rsidR="00B25658" w:rsidRPr="005E19C3">
        <w:rPr>
          <w:lang w:val="en-US"/>
        </w:rPr>
        <w:t xml:space="preserve">persons with disabilities and their representative </w:t>
      </w:r>
      <w:r w:rsidR="004112A3" w:rsidRPr="005E19C3">
        <w:rPr>
          <w:lang w:val="en-US"/>
        </w:rPr>
        <w:t>organizations:</w:t>
      </w:r>
    </w:p>
    <w:p w14:paraId="553222E5" w14:textId="14EF14A3" w:rsidR="005B6EC1" w:rsidRPr="005E19C3" w:rsidRDefault="005B6EC1" w:rsidP="00170392">
      <w:pPr>
        <w:pStyle w:val="Heading2"/>
        <w:jc w:val="center"/>
        <w:rPr>
          <w:lang w:val="en-US"/>
        </w:rPr>
      </w:pPr>
      <w:r w:rsidRPr="005E19C3">
        <w:rPr>
          <w:lang w:val="en-US"/>
        </w:rPr>
        <w:t xml:space="preserve">“From isolation, invisibility and segregation into inclusion of persons with disabilities in the </w:t>
      </w:r>
      <w:r w:rsidR="00611024" w:rsidRPr="005E19C3">
        <w:rPr>
          <w:lang w:val="en-US"/>
        </w:rPr>
        <w:t>community</w:t>
      </w:r>
      <w:r w:rsidR="00F51DB0" w:rsidRPr="005E19C3">
        <w:rPr>
          <w:lang w:val="en-US"/>
        </w:rPr>
        <w:t>. Identifying and overcoming barriers to the success</w:t>
      </w:r>
      <w:r w:rsidR="003250AC">
        <w:rPr>
          <w:lang w:val="en-US"/>
        </w:rPr>
        <w:t>ful process of deinstitutionaliz</w:t>
      </w:r>
      <w:r w:rsidR="00F51DB0" w:rsidRPr="005E19C3">
        <w:rPr>
          <w:lang w:val="en-US"/>
        </w:rPr>
        <w:t>ation</w:t>
      </w:r>
      <w:r w:rsidRPr="005E19C3">
        <w:rPr>
          <w:lang w:val="en-US"/>
        </w:rPr>
        <w:t>”</w:t>
      </w:r>
    </w:p>
    <w:p w14:paraId="7F718314" w14:textId="77777777" w:rsidR="00C94635" w:rsidRPr="005E19C3" w:rsidRDefault="00C94635" w:rsidP="00C94635">
      <w:pPr>
        <w:rPr>
          <w:lang w:val="en-US"/>
        </w:rPr>
      </w:pPr>
    </w:p>
    <w:p w14:paraId="57BDE15F" w14:textId="7C8DE509" w:rsidR="005B442A" w:rsidRPr="005E19C3" w:rsidRDefault="00A8456F" w:rsidP="00C94635">
      <w:pPr>
        <w:pStyle w:val="Heading4"/>
        <w:jc w:val="center"/>
        <w:rPr>
          <w:lang w:val="en-US"/>
        </w:rPr>
      </w:pPr>
      <w:hyperlink r:id="rId11" w:history="1">
        <w:r w:rsidR="005B442A" w:rsidRPr="005E19C3">
          <w:rPr>
            <w:rStyle w:val="Hyperlink"/>
            <w:lang w:val="en-US"/>
          </w:rPr>
          <w:t>Committee on the Rights of Persons with Disabilities</w:t>
        </w:r>
      </w:hyperlink>
      <w:r w:rsidR="005B442A" w:rsidRPr="005E19C3">
        <w:rPr>
          <w:lang w:val="en-US"/>
        </w:rPr>
        <w:t xml:space="preserve"> </w:t>
      </w:r>
    </w:p>
    <w:p w14:paraId="332AEF7C" w14:textId="294C424D" w:rsidR="005B6EC1" w:rsidRPr="005E19C3" w:rsidRDefault="00C94635" w:rsidP="00C94635">
      <w:pPr>
        <w:pStyle w:val="Heading4"/>
        <w:jc w:val="center"/>
        <w:rPr>
          <w:lang w:val="en-US"/>
        </w:rPr>
      </w:pPr>
      <w:r w:rsidRPr="005E19C3">
        <w:rPr>
          <w:lang w:val="en-US"/>
        </w:rPr>
        <w:t>Informative note</w:t>
      </w:r>
      <w:r w:rsidR="003D3B74" w:rsidRPr="005E19C3">
        <w:rPr>
          <w:lang w:val="en-US"/>
        </w:rPr>
        <w:t xml:space="preserve"> for stakeholders</w:t>
      </w:r>
    </w:p>
    <w:p w14:paraId="113242CA" w14:textId="77777777" w:rsidR="00C94635" w:rsidRPr="005E19C3" w:rsidRDefault="00C94635" w:rsidP="00C94635">
      <w:pPr>
        <w:rPr>
          <w:lang w:val="en-US"/>
        </w:rPr>
      </w:pPr>
    </w:p>
    <w:p w14:paraId="08F940A5" w14:textId="7BB62835" w:rsidR="00C64839" w:rsidRPr="005E19C3" w:rsidRDefault="00706803" w:rsidP="00F51DB0">
      <w:pPr>
        <w:jc w:val="center"/>
        <w:rPr>
          <w:sz w:val="24"/>
          <w:szCs w:val="24"/>
        </w:rPr>
      </w:pPr>
      <w:r w:rsidRPr="005E19C3">
        <w:rPr>
          <w:sz w:val="24"/>
          <w:szCs w:val="24"/>
        </w:rPr>
        <w:t xml:space="preserve">A series of </w:t>
      </w:r>
      <w:r w:rsidR="00F033BB" w:rsidRPr="005E19C3">
        <w:rPr>
          <w:sz w:val="24"/>
          <w:szCs w:val="24"/>
        </w:rPr>
        <w:t xml:space="preserve">regional </w:t>
      </w:r>
      <w:r w:rsidR="007655D1" w:rsidRPr="005E19C3">
        <w:rPr>
          <w:sz w:val="24"/>
          <w:szCs w:val="24"/>
        </w:rPr>
        <w:t>consultations will</w:t>
      </w:r>
      <w:r w:rsidR="005B6EC1" w:rsidRPr="005E19C3">
        <w:rPr>
          <w:sz w:val="24"/>
          <w:szCs w:val="24"/>
        </w:rPr>
        <w:t xml:space="preserve"> take place between the</w:t>
      </w:r>
      <w:r w:rsidR="00E87383" w:rsidRPr="005E19C3">
        <w:rPr>
          <w:sz w:val="24"/>
          <w:szCs w:val="24"/>
        </w:rPr>
        <w:t xml:space="preserve"> members of the</w:t>
      </w:r>
      <w:r w:rsidR="005B6EC1" w:rsidRPr="005E19C3">
        <w:rPr>
          <w:sz w:val="24"/>
          <w:szCs w:val="24"/>
        </w:rPr>
        <w:t xml:space="preserve"> </w:t>
      </w:r>
      <w:hyperlink r:id="rId12" w:history="1">
        <w:r w:rsidR="005B6EC1" w:rsidRPr="005E19C3">
          <w:rPr>
            <w:rStyle w:val="Hyperlink"/>
            <w:sz w:val="24"/>
            <w:szCs w:val="24"/>
          </w:rPr>
          <w:t>Committee on the Rights of Persons with Disabilities</w:t>
        </w:r>
      </w:hyperlink>
      <w:r w:rsidR="003D3B74" w:rsidRPr="005E19C3">
        <w:rPr>
          <w:sz w:val="24"/>
          <w:szCs w:val="24"/>
        </w:rPr>
        <w:t xml:space="preserve"> (the Committee)</w:t>
      </w:r>
      <w:r w:rsidR="005B6EC1" w:rsidRPr="005E19C3">
        <w:rPr>
          <w:sz w:val="24"/>
          <w:szCs w:val="24"/>
        </w:rPr>
        <w:t xml:space="preserve"> and </w:t>
      </w:r>
      <w:r w:rsidR="007E58CB" w:rsidRPr="005E19C3">
        <w:rPr>
          <w:sz w:val="24"/>
          <w:szCs w:val="24"/>
        </w:rPr>
        <w:t xml:space="preserve">persons with disabilities, through their representative </w:t>
      </w:r>
      <w:r w:rsidR="005B6EC1" w:rsidRPr="005E19C3">
        <w:rPr>
          <w:sz w:val="24"/>
          <w:szCs w:val="24"/>
        </w:rPr>
        <w:t>organizations</w:t>
      </w:r>
      <w:r w:rsidR="00F033BB" w:rsidRPr="005E19C3">
        <w:rPr>
          <w:sz w:val="24"/>
          <w:szCs w:val="24"/>
        </w:rPr>
        <w:t>, during the first half of 2021</w:t>
      </w:r>
      <w:r w:rsidR="008C1857" w:rsidRPr="005E19C3">
        <w:rPr>
          <w:sz w:val="24"/>
          <w:szCs w:val="24"/>
        </w:rPr>
        <w:t>.</w:t>
      </w:r>
      <w:r w:rsidR="005B6EC1" w:rsidRPr="005E19C3">
        <w:rPr>
          <w:sz w:val="24"/>
          <w:szCs w:val="24"/>
        </w:rPr>
        <w:t xml:space="preserve"> </w:t>
      </w:r>
    </w:p>
    <w:p w14:paraId="01977915" w14:textId="77777777" w:rsidR="00220519" w:rsidRDefault="00220519"/>
    <w:p w14:paraId="1CCB7059" w14:textId="67C166F3" w:rsidR="00C64839" w:rsidRPr="005E19C3" w:rsidRDefault="00911332" w:rsidP="00486CCF">
      <w:r w:rsidRPr="005E19C3">
        <w:t>1.</w:t>
      </w:r>
      <w:r w:rsidR="00C42093" w:rsidRPr="005E19C3">
        <w:t xml:space="preserve"> </w:t>
      </w:r>
      <w:r w:rsidR="00611024" w:rsidRPr="005E19C3">
        <w:rPr>
          <w:u w:val="single"/>
        </w:rPr>
        <w:t>Wh</w:t>
      </w:r>
      <w:r w:rsidR="001E436E" w:rsidRPr="005E19C3">
        <w:rPr>
          <w:u w:val="single"/>
        </w:rPr>
        <w:t>at</w:t>
      </w:r>
      <w:r w:rsidR="00397151" w:rsidRPr="005E19C3">
        <w:rPr>
          <w:u w:val="single"/>
        </w:rPr>
        <w:t xml:space="preserve"> prompted these </w:t>
      </w:r>
      <w:r w:rsidR="001E436E" w:rsidRPr="005E19C3">
        <w:rPr>
          <w:u w:val="single"/>
        </w:rPr>
        <w:t>consultations</w:t>
      </w:r>
      <w:r w:rsidR="006B62A3" w:rsidRPr="005E19C3">
        <w:rPr>
          <w:u w:val="single"/>
        </w:rPr>
        <w:t>?</w:t>
      </w:r>
      <w:r w:rsidR="00611024" w:rsidRPr="005E19C3">
        <w:t xml:space="preserve"> The Committee </w:t>
      </w:r>
      <w:r w:rsidR="003919BA" w:rsidRPr="005E19C3">
        <w:t xml:space="preserve">has </w:t>
      </w:r>
      <w:r w:rsidR="00611024" w:rsidRPr="005E19C3">
        <w:t>received</w:t>
      </w:r>
      <w:r w:rsidR="003919BA" w:rsidRPr="005E19C3">
        <w:t xml:space="preserve"> </w:t>
      </w:r>
      <w:r w:rsidR="003D3B74" w:rsidRPr="005E19C3">
        <w:t xml:space="preserve">information </w:t>
      </w:r>
      <w:r w:rsidR="00F033BB" w:rsidRPr="005E19C3">
        <w:t>indicating that t</w:t>
      </w:r>
      <w:r w:rsidR="003919BA" w:rsidRPr="005E19C3">
        <w:t>he COVID-19 pa</w:t>
      </w:r>
      <w:r w:rsidR="00B827DE" w:rsidRPr="005E19C3">
        <w:t xml:space="preserve">ndemic </w:t>
      </w:r>
      <w:r w:rsidR="00F033BB" w:rsidRPr="005E19C3">
        <w:t xml:space="preserve">and measures adopted by countries to contain it </w:t>
      </w:r>
      <w:r w:rsidR="00B827DE" w:rsidRPr="005E19C3">
        <w:t>ha</w:t>
      </w:r>
      <w:r w:rsidR="00F033BB" w:rsidRPr="005E19C3">
        <w:t>ve</w:t>
      </w:r>
      <w:r w:rsidR="00B827DE" w:rsidRPr="005E19C3">
        <w:t xml:space="preserve"> </w:t>
      </w:r>
      <w:r w:rsidR="00F033BB" w:rsidRPr="005E19C3">
        <w:t>put many persons with disabilities at risk of losing their sources of income, social protection benefits, and increased the likeliness of them being forced into institutionalization</w:t>
      </w:r>
      <w:r w:rsidR="00397151" w:rsidRPr="005E19C3">
        <w:t>, and isolation</w:t>
      </w:r>
      <w:r w:rsidR="00F033BB" w:rsidRPr="005E19C3">
        <w:t>. These developments have particularly affected p</w:t>
      </w:r>
      <w:r w:rsidR="003919BA" w:rsidRPr="005E19C3">
        <w:t>ersons with disabilities</w:t>
      </w:r>
      <w:r w:rsidR="00F033BB" w:rsidRPr="005E19C3">
        <w:t xml:space="preserve"> exposed to systematic and structural discrimination</w:t>
      </w:r>
      <w:r w:rsidR="007E58CB" w:rsidRPr="005E19C3">
        <w:t>, including those</w:t>
      </w:r>
      <w:r w:rsidR="003919BA" w:rsidRPr="005E19C3">
        <w:t xml:space="preserve"> </w:t>
      </w:r>
      <w:r w:rsidR="007E58CB" w:rsidRPr="005E19C3">
        <w:t xml:space="preserve">who are </w:t>
      </w:r>
      <w:r w:rsidR="003919BA" w:rsidRPr="005E19C3">
        <w:t>still in institutions</w:t>
      </w:r>
      <w:r w:rsidR="00F033BB" w:rsidRPr="005E19C3">
        <w:t xml:space="preserve">, </w:t>
      </w:r>
      <w:r w:rsidR="00002CAE" w:rsidRPr="005E19C3">
        <w:t xml:space="preserve">persons with intellectual disabilities, persons with psychosocial disabilities, </w:t>
      </w:r>
      <w:r w:rsidR="00F033BB" w:rsidRPr="005E19C3">
        <w:t>and children, older persons and women with disabilities</w:t>
      </w:r>
      <w:r w:rsidR="003919BA" w:rsidRPr="005E19C3">
        <w:t xml:space="preserve">. </w:t>
      </w:r>
    </w:p>
    <w:p w14:paraId="69C6EB35" w14:textId="77777777" w:rsidR="00220519" w:rsidRDefault="00220519" w:rsidP="00486CCF"/>
    <w:p w14:paraId="72CB7A8B" w14:textId="2F72FFAA" w:rsidR="00C64839" w:rsidRPr="005E19C3" w:rsidRDefault="00911332" w:rsidP="00486CCF">
      <w:r w:rsidRPr="005E19C3">
        <w:t>2.</w:t>
      </w:r>
      <w:r w:rsidR="00C42093" w:rsidRPr="005E19C3">
        <w:t xml:space="preserve"> </w:t>
      </w:r>
      <w:r w:rsidR="00611024" w:rsidRPr="005E19C3">
        <w:rPr>
          <w:u w:val="single"/>
        </w:rPr>
        <w:t xml:space="preserve">What is the </w:t>
      </w:r>
      <w:r w:rsidR="002A05A5" w:rsidRPr="005E19C3">
        <w:rPr>
          <w:u w:val="single"/>
        </w:rPr>
        <w:t xml:space="preserve">purpose </w:t>
      </w:r>
      <w:r w:rsidR="00611024" w:rsidRPr="005E19C3">
        <w:rPr>
          <w:u w:val="single"/>
        </w:rPr>
        <w:t xml:space="preserve">of </w:t>
      </w:r>
      <w:r w:rsidR="005B6EC1" w:rsidRPr="005E19C3">
        <w:rPr>
          <w:u w:val="single"/>
        </w:rPr>
        <w:t xml:space="preserve">the </w:t>
      </w:r>
      <w:r w:rsidR="005B7A38" w:rsidRPr="005E19C3">
        <w:rPr>
          <w:u w:val="single"/>
        </w:rPr>
        <w:t>consultations</w:t>
      </w:r>
      <w:r w:rsidR="006B62A3" w:rsidRPr="005E19C3">
        <w:rPr>
          <w:u w:val="single"/>
        </w:rPr>
        <w:t>?</w:t>
      </w:r>
      <w:r w:rsidR="005B6EC1" w:rsidRPr="005E19C3">
        <w:t xml:space="preserve"> </w:t>
      </w:r>
      <w:r w:rsidR="007655D1" w:rsidRPr="005E19C3">
        <w:t>To</w:t>
      </w:r>
      <w:r w:rsidR="005B6EC1" w:rsidRPr="005E19C3">
        <w:t xml:space="preserve"> provide an opportunity for </w:t>
      </w:r>
      <w:r w:rsidR="006A3A5E" w:rsidRPr="005E19C3">
        <w:t>persons with disabilities</w:t>
      </w:r>
      <w:r w:rsidR="00397151" w:rsidRPr="005E19C3">
        <w:t xml:space="preserve"> </w:t>
      </w:r>
      <w:r w:rsidR="00C41E43" w:rsidRPr="005E19C3">
        <w:t xml:space="preserve">including those who are particularly marginalised, and in institutions, </w:t>
      </w:r>
      <w:r w:rsidR="005B6EC1" w:rsidRPr="005E19C3">
        <w:t xml:space="preserve">to voice their </w:t>
      </w:r>
      <w:r w:rsidR="00892259" w:rsidRPr="005E19C3">
        <w:t xml:space="preserve">experiences, opinions, and </w:t>
      </w:r>
      <w:r w:rsidR="000C01E0" w:rsidRPr="005E19C3">
        <w:t xml:space="preserve">proposals on how </w:t>
      </w:r>
      <w:r w:rsidR="00397151" w:rsidRPr="005E19C3">
        <w:t>to address the current situation, which have exacerbated inequalities, and push</w:t>
      </w:r>
      <w:r w:rsidR="004E4445" w:rsidRPr="005E19C3">
        <w:t xml:space="preserve">ed </w:t>
      </w:r>
      <w:r w:rsidR="00397151" w:rsidRPr="005E19C3">
        <w:t>them into isolation and risk of institutionalization.</w:t>
      </w:r>
      <w:r w:rsidR="0028717F" w:rsidRPr="005E19C3">
        <w:t xml:space="preserve"> </w:t>
      </w:r>
      <w:r w:rsidR="00AE4E7C" w:rsidRPr="005E19C3">
        <w:t>The</w:t>
      </w:r>
      <w:r w:rsidR="00397151" w:rsidRPr="005E19C3">
        <w:t xml:space="preserve"> Committee</w:t>
      </w:r>
      <w:r w:rsidR="00406389" w:rsidRPr="005E19C3">
        <w:t>, based on the contributions,</w:t>
      </w:r>
      <w:r w:rsidR="00397151" w:rsidRPr="005E19C3">
        <w:t xml:space="preserve"> </w:t>
      </w:r>
      <w:r w:rsidR="00AE4E7C" w:rsidRPr="005E19C3">
        <w:t>will</w:t>
      </w:r>
      <w:r w:rsidR="00406389" w:rsidRPr="005E19C3">
        <w:t xml:space="preserve"> </w:t>
      </w:r>
      <w:r w:rsidR="00397151" w:rsidRPr="005E19C3">
        <w:t xml:space="preserve">prepare </w:t>
      </w:r>
      <w:r w:rsidR="00406389" w:rsidRPr="005E19C3">
        <w:t xml:space="preserve">a first draft </w:t>
      </w:r>
      <w:r w:rsidR="004E4445" w:rsidRPr="005E19C3">
        <w:t xml:space="preserve">Guidelines on </w:t>
      </w:r>
      <w:r w:rsidR="000C1BB5">
        <w:t>Deinstitutionaliz</w:t>
      </w:r>
      <w:r w:rsidR="00AE4E7C" w:rsidRPr="005E19C3">
        <w:t>ation</w:t>
      </w:r>
      <w:r w:rsidR="00397151" w:rsidRPr="005E19C3">
        <w:t>, including in emergency situations. The ultimate goal is to reinforce the</w:t>
      </w:r>
      <w:r w:rsidR="00AE4E7C" w:rsidRPr="005E19C3">
        <w:t xml:space="preserve"> </w:t>
      </w:r>
      <w:r w:rsidR="00E157C7" w:rsidRPr="005E19C3">
        <w:t>operationalis</w:t>
      </w:r>
      <w:r w:rsidR="00397151" w:rsidRPr="005E19C3">
        <w:t>ation of</w:t>
      </w:r>
      <w:r w:rsidR="00BE1B18" w:rsidRPr="005E19C3">
        <w:t xml:space="preserve"> </w:t>
      </w:r>
      <w:hyperlink r:id="rId13" w:anchor="19" w:history="1">
        <w:r w:rsidR="00BE1B18" w:rsidRPr="005E19C3">
          <w:rPr>
            <w:rStyle w:val="Hyperlink"/>
          </w:rPr>
          <w:t>the right to living independently and being included in the community (article 19)</w:t>
        </w:r>
      </w:hyperlink>
      <w:r w:rsidR="00BE1B18" w:rsidRPr="005E19C3">
        <w:t xml:space="preserve">, </w:t>
      </w:r>
      <w:r w:rsidR="00AE4E7C" w:rsidRPr="005E19C3">
        <w:t>the</w:t>
      </w:r>
      <w:r w:rsidR="00556A66" w:rsidRPr="005E19C3">
        <w:t xml:space="preserve"> Committee’s</w:t>
      </w:r>
      <w:r w:rsidR="00AE4E7C" w:rsidRPr="005E19C3">
        <w:t xml:space="preserve"> </w:t>
      </w:r>
      <w:hyperlink r:id="rId14" w:history="1">
        <w:r w:rsidR="00556A66" w:rsidRPr="005E19C3">
          <w:rPr>
            <w:rStyle w:val="Hyperlink"/>
          </w:rPr>
          <w:t>General comment No. 5 (2017) on living independently and being included in the community</w:t>
        </w:r>
      </w:hyperlink>
      <w:r w:rsidR="00002CAE" w:rsidRPr="005E19C3">
        <w:rPr>
          <w:rStyle w:val="Hyperlink"/>
        </w:rPr>
        <w:t xml:space="preserve"> and </w:t>
      </w:r>
      <w:r w:rsidR="00556A66" w:rsidRPr="005E19C3">
        <w:rPr>
          <w:rStyle w:val="Hyperlink"/>
        </w:rPr>
        <w:t xml:space="preserve">its </w:t>
      </w:r>
      <w:hyperlink r:id="rId15" w:history="1">
        <w:r w:rsidR="00556A66" w:rsidRPr="005E19C3">
          <w:rPr>
            <w:rStyle w:val="Hyperlink"/>
          </w:rPr>
          <w:t>Guidelines on liberty and security of the person (2015)</w:t>
        </w:r>
      </w:hyperlink>
      <w:r w:rsidR="00AE4E7C" w:rsidRPr="005E19C3">
        <w:t>.</w:t>
      </w:r>
      <w:r w:rsidR="00406389" w:rsidRPr="005E19C3">
        <w:t xml:space="preserve"> </w:t>
      </w:r>
    </w:p>
    <w:p w14:paraId="1FF82A2B" w14:textId="77777777" w:rsidR="00220519" w:rsidRDefault="00220519" w:rsidP="00486CCF"/>
    <w:p w14:paraId="132BE945" w14:textId="7ED72D77" w:rsidR="00AA4507" w:rsidRPr="005E19C3" w:rsidRDefault="00397151" w:rsidP="00486CCF">
      <w:r w:rsidRPr="005E19C3">
        <w:t>3</w:t>
      </w:r>
      <w:r w:rsidR="00DD25CB" w:rsidRPr="005E19C3">
        <w:t xml:space="preserve">. </w:t>
      </w:r>
      <w:r w:rsidR="005B6EC1" w:rsidRPr="005E19C3">
        <w:rPr>
          <w:u w:val="single"/>
        </w:rPr>
        <w:t xml:space="preserve">Who can </w:t>
      </w:r>
      <w:r w:rsidR="000C01E0" w:rsidRPr="005E19C3">
        <w:rPr>
          <w:u w:val="single"/>
        </w:rPr>
        <w:t>participate?</w:t>
      </w:r>
      <w:r w:rsidR="005B6EC1" w:rsidRPr="005E19C3">
        <w:t xml:space="preserve">  </w:t>
      </w:r>
      <w:r w:rsidR="006B6AAA" w:rsidRPr="005E19C3">
        <w:t>P</w:t>
      </w:r>
      <w:r w:rsidR="00767F79" w:rsidRPr="005E19C3">
        <w:t>ersons with disabilities</w:t>
      </w:r>
      <w:r w:rsidR="00AE4930" w:rsidRPr="005E19C3">
        <w:t xml:space="preserve">, </w:t>
      </w:r>
      <w:r w:rsidR="006B6AAA" w:rsidRPr="005E19C3">
        <w:t xml:space="preserve">through their representative </w:t>
      </w:r>
      <w:r w:rsidR="00E71F70" w:rsidRPr="005E19C3">
        <w:t>organizations</w:t>
      </w:r>
      <w:r w:rsidR="006B6AAA" w:rsidRPr="005E19C3">
        <w:t xml:space="preserve">. </w:t>
      </w:r>
      <w:r w:rsidR="007A7F18" w:rsidRPr="005E19C3">
        <w:t xml:space="preserve"> </w:t>
      </w:r>
      <w:r w:rsidR="006B6AAA" w:rsidRPr="005E19C3">
        <w:t>O</w:t>
      </w:r>
      <w:r w:rsidR="007A7F18" w:rsidRPr="005E19C3">
        <w:t xml:space="preserve">rganizations of </w:t>
      </w:r>
      <w:r w:rsidR="00EC2A49" w:rsidRPr="005E19C3">
        <w:t xml:space="preserve">children and young persons with disabilities, self-advocacy organizations, </w:t>
      </w:r>
      <w:r w:rsidR="006B6AAA" w:rsidRPr="005E19C3">
        <w:t xml:space="preserve">organizations of persons with intellectual disabilities, of persons with psychosocial disabilities, </w:t>
      </w:r>
      <w:r w:rsidR="00EC2A49" w:rsidRPr="005E19C3">
        <w:t xml:space="preserve">and organizations of women </w:t>
      </w:r>
      <w:r w:rsidR="00802B25" w:rsidRPr="005E19C3">
        <w:t>with disabilities</w:t>
      </w:r>
      <w:r w:rsidR="006B6AAA" w:rsidRPr="005E19C3">
        <w:t xml:space="preserve"> are encouraged to participate</w:t>
      </w:r>
      <w:r w:rsidR="002466FE" w:rsidRPr="005E19C3">
        <w:t xml:space="preserve">.  </w:t>
      </w:r>
      <w:r w:rsidR="00277FDC" w:rsidRPr="005E19C3">
        <w:t xml:space="preserve"> Other interested organizations</w:t>
      </w:r>
      <w:r w:rsidR="006A2DE8" w:rsidRPr="005E19C3">
        <w:t xml:space="preserve"> or entities</w:t>
      </w:r>
      <w:r w:rsidR="00277FDC" w:rsidRPr="005E19C3">
        <w:t xml:space="preserve"> </w:t>
      </w:r>
      <w:r w:rsidR="002466FE" w:rsidRPr="005E19C3">
        <w:t xml:space="preserve">may attend as observers. </w:t>
      </w:r>
      <w:r w:rsidR="00A021F0" w:rsidRPr="005E19C3">
        <w:t xml:space="preserve"> </w:t>
      </w:r>
    </w:p>
    <w:p w14:paraId="59885137" w14:textId="77777777" w:rsidR="00220519" w:rsidRDefault="00220519" w:rsidP="00486CCF">
      <w:pPr>
        <w:rPr>
          <w:b/>
          <w:i/>
        </w:rPr>
      </w:pPr>
    </w:p>
    <w:p w14:paraId="39B2C038" w14:textId="28582B78" w:rsidR="00C64839" w:rsidRPr="00486CCF" w:rsidRDefault="00B25F4E">
      <w:pPr>
        <w:rPr>
          <w:b/>
          <w:i/>
          <w:sz w:val="24"/>
          <w:szCs w:val="24"/>
        </w:rPr>
      </w:pPr>
      <w:r w:rsidRPr="00486CCF">
        <w:rPr>
          <w:b/>
          <w:i/>
          <w:sz w:val="24"/>
          <w:szCs w:val="24"/>
        </w:rPr>
        <w:t>How to participate in the regional consultations</w:t>
      </w:r>
    </w:p>
    <w:p w14:paraId="11C1BE51" w14:textId="716346EB" w:rsidR="00F95715" w:rsidRPr="005E19C3" w:rsidRDefault="00934C03" w:rsidP="00213EEC">
      <w:r w:rsidRPr="005E19C3">
        <w:t>4</w:t>
      </w:r>
      <w:r w:rsidR="007A7F18" w:rsidRPr="005E19C3">
        <w:t xml:space="preserve">. </w:t>
      </w:r>
      <w:r w:rsidR="00AA4507" w:rsidRPr="005E19C3">
        <w:rPr>
          <w:u w:val="single"/>
        </w:rPr>
        <w:t>When?</w:t>
      </w:r>
      <w:r w:rsidR="00076A25" w:rsidRPr="005E19C3">
        <w:t xml:space="preserve"> There will be s</w:t>
      </w:r>
      <w:r w:rsidR="00F95715" w:rsidRPr="005E19C3">
        <w:t xml:space="preserve">even </w:t>
      </w:r>
      <w:r w:rsidR="00AA4507" w:rsidRPr="005E19C3">
        <w:t xml:space="preserve">regional </w:t>
      </w:r>
      <w:r w:rsidR="005B7A38" w:rsidRPr="005E19C3">
        <w:t>consultation</w:t>
      </w:r>
      <w:r w:rsidR="00AA4507" w:rsidRPr="005E19C3">
        <w:t>s</w:t>
      </w:r>
      <w:r w:rsidR="00F95715" w:rsidRPr="005E19C3">
        <w:t xml:space="preserve"> during the first half </w:t>
      </w:r>
      <w:r w:rsidR="003919BA" w:rsidRPr="005E19C3">
        <w:t>of 2021.</w:t>
      </w:r>
      <w:r w:rsidR="00AA4507" w:rsidRPr="005E19C3">
        <w:t xml:space="preserve"> </w:t>
      </w:r>
    </w:p>
    <w:p w14:paraId="23736A1B" w14:textId="3998FBCF" w:rsidR="00B25F4E" w:rsidRPr="005E19C3" w:rsidRDefault="00B25F4E" w:rsidP="00574BCE">
      <w:pPr>
        <w:pStyle w:val="ListParagraph"/>
        <w:numPr>
          <w:ilvl w:val="0"/>
          <w:numId w:val="9"/>
        </w:numPr>
        <w:rPr>
          <w:lang w:val="en-US"/>
        </w:rPr>
      </w:pPr>
      <w:r w:rsidRPr="005E19C3">
        <w:t xml:space="preserve">Check in </w:t>
      </w:r>
      <w:hyperlink w:anchor="_ANNEX_1_Topics_1" w:history="1">
        <w:r w:rsidRPr="005E19C3">
          <w:rPr>
            <w:rStyle w:val="Hyperlink"/>
            <w:b/>
          </w:rPr>
          <w:t xml:space="preserve">annex </w:t>
        </w:r>
        <w:r w:rsidR="00C41E43" w:rsidRPr="005E19C3">
          <w:rPr>
            <w:rStyle w:val="Hyperlink"/>
            <w:b/>
          </w:rPr>
          <w:t>1</w:t>
        </w:r>
      </w:hyperlink>
      <w:r w:rsidRPr="005E19C3">
        <w:t xml:space="preserve"> of this note</w:t>
      </w:r>
      <w:r w:rsidR="00BA2A0A" w:rsidRPr="005E19C3">
        <w:t xml:space="preserve"> and identify </w:t>
      </w:r>
      <w:r w:rsidRPr="005E19C3">
        <w:t xml:space="preserve"> in which region your country has been included;</w:t>
      </w:r>
    </w:p>
    <w:p w14:paraId="166144F2" w14:textId="0CB3D245" w:rsidR="00B25F4E" w:rsidRPr="005E19C3" w:rsidRDefault="00C41E43" w:rsidP="00C41E43">
      <w:pPr>
        <w:pStyle w:val="ListParagraph"/>
        <w:tabs>
          <w:tab w:val="left" w:pos="6385"/>
        </w:tabs>
        <w:rPr>
          <w:lang w:val="en-US"/>
        </w:rPr>
      </w:pPr>
      <w:r w:rsidRPr="005E19C3">
        <w:rPr>
          <w:lang w:val="en-US"/>
        </w:rPr>
        <w:lastRenderedPageBreak/>
        <w:tab/>
      </w:r>
    </w:p>
    <w:p w14:paraId="27765439" w14:textId="0F88B35B" w:rsidR="003129CA" w:rsidRPr="00220519" w:rsidRDefault="00B25F4E" w:rsidP="00220519">
      <w:pPr>
        <w:pStyle w:val="ListParagraph"/>
        <w:numPr>
          <w:ilvl w:val="0"/>
          <w:numId w:val="9"/>
        </w:numPr>
        <w:rPr>
          <w:lang w:val="en-US"/>
        </w:rPr>
      </w:pPr>
      <w:r w:rsidRPr="005E19C3">
        <w:t xml:space="preserve">Be aware of the dates of the regional consultation. </w:t>
      </w:r>
    </w:p>
    <w:p w14:paraId="2A4EB1E9" w14:textId="5D8D6B9E" w:rsidR="003129CA" w:rsidRPr="00220519" w:rsidRDefault="00C41E43" w:rsidP="00220519">
      <w:pPr>
        <w:rPr>
          <w:lang w:val="en-US"/>
        </w:rPr>
      </w:pPr>
      <w:r w:rsidRPr="005E19C3">
        <w:t>T</w:t>
      </w:r>
      <w:r w:rsidR="00B25F4E" w:rsidRPr="005E19C3">
        <w:t xml:space="preserve">he regional consultation for countries in </w:t>
      </w:r>
      <w:r w:rsidR="00F95715" w:rsidRPr="005E19C3">
        <w:t xml:space="preserve">Central Asia and Eastern Europe </w:t>
      </w:r>
      <w:r w:rsidR="00B25F4E" w:rsidRPr="005E19C3">
        <w:t>will take place</w:t>
      </w:r>
      <w:r w:rsidRPr="005E19C3">
        <w:t xml:space="preserve"> on</w:t>
      </w:r>
      <w:r w:rsidR="003250AC">
        <w:t xml:space="preserve"> </w:t>
      </w:r>
      <w:r w:rsidR="003250AC" w:rsidRPr="00220519">
        <w:rPr>
          <w:b/>
          <w:u w:val="single"/>
        </w:rPr>
        <w:t>Thursday</w:t>
      </w:r>
      <w:r w:rsidRPr="00220519">
        <w:rPr>
          <w:u w:val="single"/>
        </w:rPr>
        <w:t xml:space="preserve"> </w:t>
      </w:r>
      <w:r w:rsidR="002466FE" w:rsidRPr="00220519">
        <w:rPr>
          <w:b/>
          <w:u w:val="single"/>
        </w:rPr>
        <w:t>25</w:t>
      </w:r>
      <w:r w:rsidR="00706803" w:rsidRPr="00220519">
        <w:rPr>
          <w:b/>
          <w:u w:val="single"/>
        </w:rPr>
        <w:t xml:space="preserve"> </w:t>
      </w:r>
      <w:r w:rsidRPr="00220519">
        <w:rPr>
          <w:b/>
          <w:u w:val="single"/>
        </w:rPr>
        <w:t>February</w:t>
      </w:r>
      <w:r w:rsidR="00706803" w:rsidRPr="00220519">
        <w:rPr>
          <w:b/>
          <w:u w:val="single"/>
        </w:rPr>
        <w:t xml:space="preserve"> 2021</w:t>
      </w:r>
      <w:r w:rsidR="003250AC" w:rsidRPr="00220519">
        <w:rPr>
          <w:b/>
        </w:rPr>
        <w:t>,</w:t>
      </w:r>
      <w:r w:rsidR="005E19C3" w:rsidRPr="00220519">
        <w:rPr>
          <w:b/>
        </w:rPr>
        <w:t xml:space="preserve"> </w:t>
      </w:r>
      <w:r w:rsidR="003250AC" w:rsidRPr="00220519">
        <w:rPr>
          <w:b/>
        </w:rPr>
        <w:t>at:</w:t>
      </w:r>
    </w:p>
    <w:p w14:paraId="6F77E6D5" w14:textId="31705EED" w:rsidR="00735E0C" w:rsidRPr="005E19C3" w:rsidRDefault="00735E0C" w:rsidP="005E19C3">
      <w:pPr>
        <w:pStyle w:val="ListParagraph"/>
        <w:rPr>
          <w:lang w:val="en-US"/>
        </w:rPr>
      </w:pPr>
      <w:r w:rsidRPr="005E19C3">
        <w:rPr>
          <w:lang w:val="en-US"/>
        </w:rPr>
        <w:t>9h00 Albania</w:t>
      </w:r>
      <w:r w:rsidR="00970CA5" w:rsidRPr="005E19C3">
        <w:rPr>
          <w:lang w:val="en-US"/>
        </w:rPr>
        <w:t>, Bosnia and Herzegovina, Kosovo</w:t>
      </w:r>
      <w:r w:rsidR="00E103BE" w:rsidRPr="005E19C3">
        <w:rPr>
          <w:lang w:val="en-US"/>
        </w:rPr>
        <w:t>, North Macedonia, Montenegro, Serbia</w:t>
      </w:r>
    </w:p>
    <w:p w14:paraId="1467EB1C" w14:textId="5CECCC7B" w:rsidR="00E103BE" w:rsidRPr="005E19C3" w:rsidRDefault="00E103BE" w:rsidP="005E19C3">
      <w:pPr>
        <w:pStyle w:val="ListParagraph"/>
        <w:rPr>
          <w:lang w:val="en-US"/>
        </w:rPr>
      </w:pPr>
      <w:r w:rsidRPr="005E19C3">
        <w:rPr>
          <w:lang w:val="en-US"/>
        </w:rPr>
        <w:t xml:space="preserve">10h00 Republic of Moldova, Ukraine, Russian Federation (Kaliningrad) </w:t>
      </w:r>
    </w:p>
    <w:p w14:paraId="7F264CD9" w14:textId="38B47ADF" w:rsidR="00735E0C" w:rsidRPr="005E19C3" w:rsidRDefault="00735E0C" w:rsidP="005E19C3">
      <w:pPr>
        <w:pStyle w:val="ListParagraph"/>
        <w:rPr>
          <w:lang w:val="en-US"/>
        </w:rPr>
      </w:pPr>
      <w:r w:rsidRPr="005E19C3">
        <w:rPr>
          <w:lang w:val="en-US"/>
        </w:rPr>
        <w:t xml:space="preserve">11h00 </w:t>
      </w:r>
      <w:r w:rsidR="00E103BE" w:rsidRPr="005E19C3">
        <w:rPr>
          <w:lang w:val="en-US"/>
        </w:rPr>
        <w:t>Belarus, Russian Federation (Moscow)</w:t>
      </w:r>
    </w:p>
    <w:p w14:paraId="03575B66" w14:textId="5EE672FA" w:rsidR="00735E0C" w:rsidRPr="005E19C3" w:rsidRDefault="00735E0C" w:rsidP="005E19C3">
      <w:pPr>
        <w:pStyle w:val="ListParagraph"/>
        <w:rPr>
          <w:lang w:val="en-US"/>
        </w:rPr>
      </w:pPr>
      <w:r w:rsidRPr="005E19C3">
        <w:rPr>
          <w:lang w:val="en-US"/>
        </w:rPr>
        <w:t xml:space="preserve">12h00 Armenia, Azerbaijan, </w:t>
      </w:r>
      <w:r w:rsidR="00970CA5" w:rsidRPr="005E19C3">
        <w:rPr>
          <w:lang w:val="en-US"/>
        </w:rPr>
        <w:t xml:space="preserve">Georgia, </w:t>
      </w:r>
      <w:r w:rsidR="00E103BE" w:rsidRPr="005E19C3">
        <w:rPr>
          <w:lang w:val="en-US"/>
        </w:rPr>
        <w:t>Russian Federation (Samara)</w:t>
      </w:r>
    </w:p>
    <w:p w14:paraId="7D7EB16E" w14:textId="15503E15" w:rsidR="002D636C" w:rsidRPr="005E19C3" w:rsidRDefault="002D636C" w:rsidP="005E19C3">
      <w:pPr>
        <w:pStyle w:val="ListParagraph"/>
        <w:rPr>
          <w:lang w:val="en-US"/>
        </w:rPr>
      </w:pPr>
      <w:r w:rsidRPr="005E19C3">
        <w:rPr>
          <w:lang w:val="en-US"/>
        </w:rPr>
        <w:t>13h00 Tajikistan, Turkmenistan, Uzbekistan</w:t>
      </w:r>
      <w:r w:rsidR="00E103BE" w:rsidRPr="005E19C3">
        <w:rPr>
          <w:lang w:val="en-US"/>
        </w:rPr>
        <w:t xml:space="preserve">, Russian Federation (Yekaterinburg) </w:t>
      </w:r>
    </w:p>
    <w:p w14:paraId="44EB7237" w14:textId="260011F8" w:rsidR="002D636C" w:rsidRPr="005E19C3" w:rsidRDefault="002D636C" w:rsidP="005E19C3">
      <w:pPr>
        <w:pStyle w:val="ListParagraph"/>
        <w:rPr>
          <w:lang w:val="en-US"/>
        </w:rPr>
      </w:pPr>
      <w:r w:rsidRPr="005E19C3">
        <w:rPr>
          <w:lang w:val="en-US"/>
        </w:rPr>
        <w:t xml:space="preserve">14h00 Kazakhstan, Kyrgyzstan, </w:t>
      </w:r>
      <w:r w:rsidR="00E103BE" w:rsidRPr="005E19C3">
        <w:rPr>
          <w:lang w:val="en-US"/>
        </w:rPr>
        <w:t>Russian Federation (Omsk)</w:t>
      </w:r>
    </w:p>
    <w:p w14:paraId="6BBE19DA" w14:textId="77B85ABD" w:rsidR="00E103BE" w:rsidRPr="005E19C3" w:rsidRDefault="00E103BE" w:rsidP="005E19C3">
      <w:pPr>
        <w:pStyle w:val="ListParagraph"/>
        <w:rPr>
          <w:lang w:val="en-US"/>
        </w:rPr>
      </w:pPr>
      <w:r w:rsidRPr="005E19C3">
        <w:rPr>
          <w:lang w:val="en-US"/>
        </w:rPr>
        <w:t xml:space="preserve">15h00 Russian Federation (Novosibirsk) </w:t>
      </w:r>
    </w:p>
    <w:p w14:paraId="767DEF21" w14:textId="572232BD" w:rsidR="00E103BE" w:rsidRPr="005E19C3" w:rsidRDefault="00E103BE" w:rsidP="005E19C3">
      <w:pPr>
        <w:pStyle w:val="ListParagraph"/>
        <w:rPr>
          <w:lang w:val="en-US"/>
        </w:rPr>
      </w:pPr>
      <w:r w:rsidRPr="005E19C3">
        <w:rPr>
          <w:lang w:val="en-US"/>
        </w:rPr>
        <w:t>16h00 Russian Federation (Irkutsk)</w:t>
      </w:r>
    </w:p>
    <w:p w14:paraId="218B4884" w14:textId="748CF500" w:rsidR="00706803" w:rsidRPr="005E19C3" w:rsidRDefault="00E103BE" w:rsidP="005E19C3">
      <w:pPr>
        <w:pStyle w:val="ListParagraph"/>
        <w:rPr>
          <w:lang w:val="en-US"/>
        </w:rPr>
      </w:pPr>
      <w:r w:rsidRPr="005E19C3">
        <w:rPr>
          <w:lang w:val="en-US"/>
        </w:rPr>
        <w:t xml:space="preserve">18h00 Russian Federation (Vladivostok) </w:t>
      </w:r>
    </w:p>
    <w:p w14:paraId="6CE165A8" w14:textId="77777777" w:rsidR="002D636C" w:rsidRPr="005E19C3" w:rsidRDefault="002D636C" w:rsidP="00706803">
      <w:pPr>
        <w:pStyle w:val="ListParagraph"/>
      </w:pPr>
    </w:p>
    <w:p w14:paraId="44BFF01C" w14:textId="609650AF" w:rsidR="005E19C3" w:rsidRPr="00220519" w:rsidRDefault="00C41E43" w:rsidP="00220519">
      <w:pPr>
        <w:rPr>
          <w:lang w:val="en-US"/>
        </w:rPr>
      </w:pPr>
      <w:r w:rsidRPr="005E19C3">
        <w:t>T</w:t>
      </w:r>
      <w:r w:rsidR="00B25F4E" w:rsidRPr="005E19C3">
        <w:t>he regional consultation for Central and South America will be held</w:t>
      </w:r>
      <w:r w:rsidR="002466FE" w:rsidRPr="005E19C3">
        <w:t xml:space="preserve"> on </w:t>
      </w:r>
      <w:r w:rsidR="003250AC" w:rsidRPr="00220519">
        <w:rPr>
          <w:b/>
          <w:u w:val="single"/>
        </w:rPr>
        <w:t xml:space="preserve">Tuesday </w:t>
      </w:r>
      <w:r w:rsidR="002466FE" w:rsidRPr="00220519">
        <w:rPr>
          <w:b/>
          <w:u w:val="single"/>
        </w:rPr>
        <w:t>2</w:t>
      </w:r>
      <w:r w:rsidR="002466FE" w:rsidRPr="00220519">
        <w:rPr>
          <w:u w:val="single"/>
        </w:rPr>
        <w:t xml:space="preserve"> </w:t>
      </w:r>
      <w:r w:rsidRPr="00220519">
        <w:rPr>
          <w:b/>
          <w:u w:val="single"/>
        </w:rPr>
        <w:t>March</w:t>
      </w:r>
      <w:r w:rsidR="00706803" w:rsidRPr="00220519">
        <w:rPr>
          <w:b/>
          <w:u w:val="single"/>
        </w:rPr>
        <w:t xml:space="preserve"> 2021</w:t>
      </w:r>
      <w:r w:rsidR="003250AC" w:rsidRPr="00220519">
        <w:rPr>
          <w:b/>
        </w:rPr>
        <w:t>, at:</w:t>
      </w:r>
    </w:p>
    <w:p w14:paraId="165EAA80" w14:textId="593881F2" w:rsidR="002D636C" w:rsidRPr="005E19C3" w:rsidRDefault="003B108E" w:rsidP="00C41E43">
      <w:pPr>
        <w:pStyle w:val="ListParagraph"/>
        <w:rPr>
          <w:lang w:val="es-ES"/>
        </w:rPr>
      </w:pPr>
      <w:r>
        <w:rPr>
          <w:lang w:val="es-ES"/>
        </w:rPr>
        <w:t>11h</w:t>
      </w:r>
      <w:r w:rsidR="002D636C" w:rsidRPr="005E19C3">
        <w:rPr>
          <w:lang w:val="es-ES"/>
        </w:rPr>
        <w:t xml:space="preserve">00 </w:t>
      </w:r>
      <w:r>
        <w:rPr>
          <w:lang w:val="es-ES"/>
        </w:rPr>
        <w:t>Me</w:t>
      </w:r>
      <w:r w:rsidR="002D636C" w:rsidRPr="005E19C3">
        <w:rPr>
          <w:lang w:val="es-ES"/>
        </w:rPr>
        <w:t>xico (Tijuana)</w:t>
      </w:r>
      <w:r>
        <w:rPr>
          <w:lang w:val="es-ES"/>
        </w:rPr>
        <w:t xml:space="preserve"> </w:t>
      </w:r>
    </w:p>
    <w:p w14:paraId="29B547B1" w14:textId="195C5CCF" w:rsidR="00264FD5" w:rsidRPr="003B108E" w:rsidRDefault="003B108E" w:rsidP="003B108E">
      <w:pPr>
        <w:pStyle w:val="ListParagraph"/>
        <w:rPr>
          <w:lang w:val="es-ES"/>
        </w:rPr>
      </w:pPr>
      <w:r>
        <w:rPr>
          <w:lang w:val="es-ES"/>
        </w:rPr>
        <w:t xml:space="preserve">13h00 </w:t>
      </w:r>
      <w:r w:rsidR="008525FC">
        <w:rPr>
          <w:lang w:val="es-ES"/>
        </w:rPr>
        <w:t xml:space="preserve">Costa Rica, </w:t>
      </w:r>
      <w:r w:rsidR="00264FD5" w:rsidRPr="003B108E">
        <w:rPr>
          <w:lang w:val="es-ES"/>
        </w:rPr>
        <w:t>Guatemala</w:t>
      </w:r>
      <w:r w:rsidR="00C1669D" w:rsidRPr="003B108E">
        <w:rPr>
          <w:lang w:val="es-ES"/>
        </w:rPr>
        <w:t xml:space="preserve">, El Salvador, Honduras, </w:t>
      </w:r>
      <w:r w:rsidR="008525FC">
        <w:rPr>
          <w:lang w:val="es-ES"/>
        </w:rPr>
        <w:t>Me</w:t>
      </w:r>
      <w:r w:rsidR="008525FC" w:rsidRPr="003B108E">
        <w:rPr>
          <w:lang w:val="es-ES"/>
        </w:rPr>
        <w:t>xico (Central),</w:t>
      </w:r>
      <w:r w:rsidR="008525FC">
        <w:rPr>
          <w:lang w:val="es-ES"/>
        </w:rPr>
        <w:t xml:space="preserve"> Nicaragua</w:t>
      </w:r>
    </w:p>
    <w:p w14:paraId="00FD519C" w14:textId="74C27BD3" w:rsidR="00C1669D" w:rsidRPr="005E19C3" w:rsidRDefault="003B108E" w:rsidP="00C41E43">
      <w:pPr>
        <w:pStyle w:val="ListParagraph"/>
        <w:rPr>
          <w:lang w:val="es-ES"/>
        </w:rPr>
      </w:pPr>
      <w:r>
        <w:rPr>
          <w:lang w:val="es-ES"/>
        </w:rPr>
        <w:t>14h00</w:t>
      </w:r>
      <w:r w:rsidR="00C1669D" w:rsidRPr="005E19C3">
        <w:rPr>
          <w:lang w:val="es-ES"/>
        </w:rPr>
        <w:t xml:space="preserve"> Colombia,</w:t>
      </w:r>
      <w:r>
        <w:rPr>
          <w:lang w:val="es-ES"/>
        </w:rPr>
        <w:t xml:space="preserve"> Ecuador,</w:t>
      </w:r>
      <w:r w:rsidR="00C1669D" w:rsidRPr="005E19C3">
        <w:rPr>
          <w:lang w:val="es-ES"/>
        </w:rPr>
        <w:t xml:space="preserve"> </w:t>
      </w:r>
      <w:r w:rsidR="001A7583">
        <w:rPr>
          <w:lang w:val="es-ES"/>
        </w:rPr>
        <w:t>Me</w:t>
      </w:r>
      <w:r w:rsidRPr="005E19C3">
        <w:rPr>
          <w:lang w:val="es-ES"/>
        </w:rPr>
        <w:t>xico (Quintana Roo)</w:t>
      </w:r>
      <w:r>
        <w:rPr>
          <w:lang w:val="es-ES"/>
        </w:rPr>
        <w:t>, Panama, Peru</w:t>
      </w:r>
    </w:p>
    <w:p w14:paraId="32A5680B" w14:textId="1197F38A" w:rsidR="00C1669D" w:rsidRPr="005E19C3" w:rsidRDefault="003B108E" w:rsidP="00C41E43">
      <w:pPr>
        <w:pStyle w:val="ListParagraph"/>
        <w:rPr>
          <w:lang w:val="es-ES"/>
        </w:rPr>
      </w:pPr>
      <w:r>
        <w:rPr>
          <w:lang w:val="es-ES"/>
        </w:rPr>
        <w:t xml:space="preserve">15h00 </w:t>
      </w:r>
      <w:r w:rsidR="002D636C" w:rsidRPr="005E19C3">
        <w:rPr>
          <w:lang w:val="es-ES"/>
        </w:rPr>
        <w:t>Bolivia</w:t>
      </w:r>
      <w:r>
        <w:rPr>
          <w:lang w:val="es-ES"/>
        </w:rPr>
        <w:t xml:space="preserve">, </w:t>
      </w:r>
      <w:r w:rsidR="002D636C" w:rsidRPr="005E19C3">
        <w:rPr>
          <w:lang w:val="es-ES"/>
        </w:rPr>
        <w:t xml:space="preserve">Brasil </w:t>
      </w:r>
      <w:r w:rsidR="00C1669D" w:rsidRPr="005E19C3">
        <w:rPr>
          <w:lang w:val="es-ES"/>
        </w:rPr>
        <w:t>(Manaos)</w:t>
      </w:r>
      <w:r>
        <w:rPr>
          <w:lang w:val="es-ES"/>
        </w:rPr>
        <w:t>, Venezuela</w:t>
      </w:r>
    </w:p>
    <w:p w14:paraId="40CE81AF" w14:textId="27569F09" w:rsidR="00C1669D" w:rsidRDefault="003B108E" w:rsidP="003B108E">
      <w:pPr>
        <w:pStyle w:val="ListParagraph"/>
        <w:rPr>
          <w:lang w:val="es-ES"/>
        </w:rPr>
      </w:pPr>
      <w:r>
        <w:rPr>
          <w:lang w:val="es-ES"/>
        </w:rPr>
        <w:t>16h00 Argentina, Brasil (</w:t>
      </w:r>
      <w:r w:rsidRPr="005E19C3">
        <w:rPr>
          <w:lang w:val="es-ES"/>
        </w:rPr>
        <w:t>Brasilia, Sao Paulo, Belo Horizonte, Recife)</w:t>
      </w:r>
      <w:r>
        <w:rPr>
          <w:lang w:val="es-ES"/>
        </w:rPr>
        <w:t xml:space="preserve">, </w:t>
      </w:r>
      <w:r w:rsidR="00C1669D" w:rsidRPr="005E19C3">
        <w:rPr>
          <w:lang w:val="es-ES"/>
        </w:rPr>
        <w:t>Chile, Paraguay,</w:t>
      </w:r>
      <w:r w:rsidR="001D1213" w:rsidRPr="005E19C3">
        <w:rPr>
          <w:lang w:val="es-ES"/>
        </w:rPr>
        <w:t xml:space="preserve"> </w:t>
      </w:r>
      <w:r>
        <w:rPr>
          <w:lang w:val="es-ES"/>
        </w:rPr>
        <w:t>Uruguay.</w:t>
      </w:r>
    </w:p>
    <w:p w14:paraId="411FE972" w14:textId="77777777" w:rsidR="003B108E" w:rsidRPr="003B108E" w:rsidRDefault="003B108E" w:rsidP="003B108E">
      <w:pPr>
        <w:pStyle w:val="ListParagraph"/>
        <w:rPr>
          <w:lang w:val="es-ES"/>
        </w:rPr>
      </w:pPr>
    </w:p>
    <w:p w14:paraId="787E2424" w14:textId="0E6E7B16" w:rsidR="00B23975" w:rsidRPr="005E19C3" w:rsidRDefault="00B25F4E" w:rsidP="00C41E43">
      <w:pPr>
        <w:pStyle w:val="ListParagraph"/>
        <w:numPr>
          <w:ilvl w:val="0"/>
          <w:numId w:val="9"/>
        </w:numPr>
        <w:rPr>
          <w:lang w:val="en-US"/>
        </w:rPr>
      </w:pPr>
      <w:r w:rsidRPr="005E19C3">
        <w:rPr>
          <w:lang w:val="en-US"/>
        </w:rPr>
        <w:t xml:space="preserve">Dates for other regional consultations will be confirmed later on. </w:t>
      </w:r>
    </w:p>
    <w:p w14:paraId="53075818" w14:textId="185A9F27" w:rsidR="00706D5C" w:rsidRPr="005E19C3" w:rsidRDefault="00706D5C" w:rsidP="00706803">
      <w:pPr>
        <w:rPr>
          <w:rFonts w:cstheme="minorHAnsi"/>
          <w:lang w:val="en-US"/>
        </w:rPr>
      </w:pPr>
    </w:p>
    <w:p w14:paraId="6E2A1FDD" w14:textId="37347B76" w:rsidR="00AD7EF1" w:rsidRPr="005E19C3" w:rsidRDefault="00B25F4E" w:rsidP="001F75EE">
      <w:pPr>
        <w:rPr>
          <w:u w:val="single"/>
          <w:lang w:val="en-US"/>
        </w:rPr>
      </w:pPr>
      <w:r w:rsidRPr="005E19C3">
        <w:rPr>
          <w:lang w:val="en-US"/>
        </w:rPr>
        <w:t>5</w:t>
      </w:r>
      <w:r w:rsidR="00400527" w:rsidRPr="005E19C3">
        <w:rPr>
          <w:lang w:val="en-US"/>
        </w:rPr>
        <w:t>.</w:t>
      </w:r>
      <w:r w:rsidR="008908C3" w:rsidRPr="005E19C3">
        <w:rPr>
          <w:lang w:val="en-US"/>
        </w:rPr>
        <w:t xml:space="preserve"> </w:t>
      </w:r>
      <w:r w:rsidR="002741B6" w:rsidRPr="005E19C3">
        <w:rPr>
          <w:u w:val="single"/>
          <w:lang w:val="en-US"/>
        </w:rPr>
        <w:t xml:space="preserve">How </w:t>
      </w:r>
      <w:r w:rsidR="00002CAE" w:rsidRPr="005E19C3">
        <w:rPr>
          <w:u w:val="single"/>
          <w:lang w:val="en-US"/>
        </w:rPr>
        <w:t xml:space="preserve">I </w:t>
      </w:r>
      <w:r w:rsidR="006B62A3" w:rsidRPr="005E19C3">
        <w:rPr>
          <w:u w:val="single"/>
          <w:lang w:val="en-US"/>
        </w:rPr>
        <w:t>can</w:t>
      </w:r>
      <w:r w:rsidRPr="005E19C3">
        <w:rPr>
          <w:u w:val="single"/>
          <w:lang w:val="en-US"/>
        </w:rPr>
        <w:t xml:space="preserve"> register</w:t>
      </w:r>
      <w:r w:rsidR="002741B6" w:rsidRPr="005E19C3">
        <w:rPr>
          <w:u w:val="single"/>
          <w:lang w:val="en-US"/>
        </w:rPr>
        <w:t>?</w:t>
      </w:r>
    </w:p>
    <w:p w14:paraId="77D7A502" w14:textId="34857991" w:rsidR="00A76A25" w:rsidRPr="005E19C3" w:rsidRDefault="00B25F4E" w:rsidP="00674976">
      <w:pPr>
        <w:rPr>
          <w:color w:val="0563C1" w:themeColor="hyperlink"/>
          <w:u w:val="single"/>
          <w:lang w:val="en-US"/>
        </w:rPr>
      </w:pPr>
      <w:r w:rsidRPr="005E19C3">
        <w:rPr>
          <w:lang w:val="en-US"/>
        </w:rPr>
        <w:t xml:space="preserve">Please </w:t>
      </w:r>
      <w:r w:rsidR="002741B6" w:rsidRPr="005E19C3">
        <w:rPr>
          <w:lang w:val="en-US"/>
        </w:rPr>
        <w:t>send an email to</w:t>
      </w:r>
      <w:r w:rsidR="00630A43" w:rsidRPr="005E19C3">
        <w:rPr>
          <w:lang w:val="en-US"/>
        </w:rPr>
        <w:t xml:space="preserve"> </w:t>
      </w:r>
      <w:hyperlink r:id="rId16" w:history="1">
        <w:r w:rsidR="002741B6" w:rsidRPr="005E19C3">
          <w:rPr>
            <w:rStyle w:val="Hyperlink"/>
            <w:lang w:val="en-US"/>
          </w:rPr>
          <w:t>crpd@ohchr.org</w:t>
        </w:r>
      </w:hyperlink>
      <w:r w:rsidRPr="005E19C3">
        <w:rPr>
          <w:rStyle w:val="Hyperlink"/>
          <w:lang w:val="en-US"/>
        </w:rPr>
        <w:t xml:space="preserve">. </w:t>
      </w:r>
    </w:p>
    <w:p w14:paraId="51C1D5F2" w14:textId="53D7BF2D" w:rsidR="00A76A25" w:rsidRPr="005E19C3" w:rsidRDefault="002741B6" w:rsidP="00F51DB0">
      <w:pPr>
        <w:pStyle w:val="ListParagraph"/>
        <w:numPr>
          <w:ilvl w:val="1"/>
          <w:numId w:val="22"/>
        </w:numPr>
        <w:rPr>
          <w:i/>
          <w:lang w:val="en-US"/>
        </w:rPr>
      </w:pPr>
      <w:r w:rsidRPr="005E19C3">
        <w:rPr>
          <w:lang w:val="en-US"/>
        </w:rPr>
        <w:t xml:space="preserve">In the subject of the email indicate </w:t>
      </w:r>
      <w:r w:rsidR="00B16CE8" w:rsidRPr="005E19C3">
        <w:rPr>
          <w:lang w:val="en-US"/>
        </w:rPr>
        <w:t>the</w:t>
      </w:r>
      <w:r w:rsidRPr="005E19C3">
        <w:rPr>
          <w:lang w:val="en-US"/>
        </w:rPr>
        <w:t xml:space="preserve"> online</w:t>
      </w:r>
      <w:r w:rsidR="002F33FF" w:rsidRPr="005E19C3">
        <w:rPr>
          <w:lang w:val="en-US"/>
        </w:rPr>
        <w:t xml:space="preserve"> regional </w:t>
      </w:r>
      <w:r w:rsidR="005B7A38" w:rsidRPr="005E19C3">
        <w:rPr>
          <w:lang w:val="en-US"/>
        </w:rPr>
        <w:t>consultations</w:t>
      </w:r>
      <w:r w:rsidRPr="005E19C3">
        <w:rPr>
          <w:lang w:val="en-US"/>
        </w:rPr>
        <w:t xml:space="preserve"> </w:t>
      </w:r>
      <w:r w:rsidR="00B16CE8" w:rsidRPr="005E19C3">
        <w:rPr>
          <w:lang w:val="en-US"/>
        </w:rPr>
        <w:t xml:space="preserve">in which </w:t>
      </w:r>
      <w:r w:rsidRPr="005E19C3">
        <w:rPr>
          <w:lang w:val="en-US"/>
        </w:rPr>
        <w:t>you wi</w:t>
      </w:r>
      <w:r w:rsidR="008908C3" w:rsidRPr="005E19C3">
        <w:rPr>
          <w:lang w:val="en-US"/>
        </w:rPr>
        <w:t>sh to</w:t>
      </w:r>
      <w:r w:rsidRPr="005E19C3">
        <w:rPr>
          <w:lang w:val="en-US"/>
        </w:rPr>
        <w:t xml:space="preserve"> participate</w:t>
      </w:r>
      <w:r w:rsidR="00360027" w:rsidRPr="005E19C3">
        <w:rPr>
          <w:lang w:val="en-US"/>
        </w:rPr>
        <w:t>.</w:t>
      </w:r>
      <w:r w:rsidR="008908C3" w:rsidRPr="005E19C3">
        <w:rPr>
          <w:lang w:val="en-US"/>
        </w:rPr>
        <w:t xml:space="preserve"> </w:t>
      </w:r>
      <w:r w:rsidR="008908C3" w:rsidRPr="005E19C3">
        <w:rPr>
          <w:b/>
          <w:lang w:val="en-US"/>
        </w:rPr>
        <w:t>Example:</w:t>
      </w:r>
      <w:r w:rsidR="008908C3" w:rsidRPr="005E19C3">
        <w:rPr>
          <w:i/>
          <w:lang w:val="en-US"/>
        </w:rPr>
        <w:t xml:space="preserve"> Regional consultation Africa</w:t>
      </w:r>
    </w:p>
    <w:p w14:paraId="47301567" w14:textId="77777777" w:rsidR="00674976" w:rsidRPr="005E19C3" w:rsidRDefault="00674976" w:rsidP="00674976">
      <w:pPr>
        <w:pStyle w:val="ListParagraph"/>
        <w:ind w:left="360"/>
        <w:rPr>
          <w:lang w:val="en-US"/>
        </w:rPr>
      </w:pPr>
    </w:p>
    <w:p w14:paraId="0103EF4F" w14:textId="515CFB46" w:rsidR="001F16BE" w:rsidRPr="005E19C3" w:rsidRDefault="00674976" w:rsidP="00706803">
      <w:pPr>
        <w:pStyle w:val="ListParagraph"/>
        <w:numPr>
          <w:ilvl w:val="1"/>
          <w:numId w:val="21"/>
        </w:numPr>
        <w:rPr>
          <w:lang w:val="en-US"/>
        </w:rPr>
      </w:pPr>
      <w:r w:rsidRPr="005E19C3">
        <w:rPr>
          <w:lang w:val="en-US"/>
        </w:rPr>
        <w:t>I</w:t>
      </w:r>
      <w:r w:rsidR="002741B6" w:rsidRPr="005E19C3">
        <w:rPr>
          <w:lang w:val="en-US"/>
        </w:rPr>
        <w:t xml:space="preserve">n the text of </w:t>
      </w:r>
      <w:r w:rsidR="00B16CE8" w:rsidRPr="005E19C3">
        <w:rPr>
          <w:lang w:val="en-US"/>
        </w:rPr>
        <w:t xml:space="preserve">the </w:t>
      </w:r>
      <w:r w:rsidR="002741B6" w:rsidRPr="005E19C3">
        <w:rPr>
          <w:lang w:val="en-US"/>
        </w:rPr>
        <w:t>email, indicate</w:t>
      </w:r>
      <w:r w:rsidR="00360027" w:rsidRPr="005E19C3">
        <w:rPr>
          <w:lang w:val="en-US"/>
        </w:rPr>
        <w:t>:</w:t>
      </w:r>
    </w:p>
    <w:p w14:paraId="772081B2" w14:textId="77777777" w:rsidR="00706803" w:rsidRPr="005E19C3" w:rsidRDefault="00706803" w:rsidP="00706803">
      <w:pPr>
        <w:pStyle w:val="ListParagraph"/>
        <w:ind w:left="360"/>
        <w:rPr>
          <w:lang w:val="en-US"/>
        </w:rPr>
      </w:pPr>
    </w:p>
    <w:p w14:paraId="7C2335BE" w14:textId="3650ED77" w:rsidR="002741B6" w:rsidRPr="005E19C3" w:rsidRDefault="00A76A25" w:rsidP="00706803">
      <w:pPr>
        <w:pStyle w:val="ListParagraph"/>
        <w:numPr>
          <w:ilvl w:val="0"/>
          <w:numId w:val="11"/>
        </w:numPr>
        <w:rPr>
          <w:lang w:val="en-US"/>
        </w:rPr>
      </w:pPr>
      <w:r w:rsidRPr="005E19C3">
        <w:rPr>
          <w:lang w:val="en-US"/>
        </w:rPr>
        <w:t xml:space="preserve">The full name of the </w:t>
      </w:r>
      <w:r w:rsidR="00DF5954" w:rsidRPr="005E19C3">
        <w:rPr>
          <w:lang w:val="en-US"/>
        </w:rPr>
        <w:t xml:space="preserve">person of </w:t>
      </w:r>
      <w:r w:rsidR="00002CAE" w:rsidRPr="005E19C3">
        <w:rPr>
          <w:lang w:val="en-US"/>
        </w:rPr>
        <w:t>y</w:t>
      </w:r>
      <w:r w:rsidR="00DF5954" w:rsidRPr="005E19C3">
        <w:rPr>
          <w:lang w:val="en-US"/>
        </w:rPr>
        <w:t xml:space="preserve">our organization that will </w:t>
      </w:r>
      <w:r w:rsidR="002741B6" w:rsidRPr="005E19C3">
        <w:rPr>
          <w:lang w:val="en-US"/>
        </w:rPr>
        <w:t>speak</w:t>
      </w:r>
      <w:r w:rsidR="00DF5954" w:rsidRPr="005E19C3">
        <w:rPr>
          <w:lang w:val="en-US"/>
        </w:rPr>
        <w:t xml:space="preserve"> at the online consultation</w:t>
      </w:r>
      <w:r w:rsidR="00B16CE8" w:rsidRPr="005E19C3">
        <w:rPr>
          <w:lang w:val="en-US"/>
        </w:rPr>
        <w:t>;</w:t>
      </w:r>
    </w:p>
    <w:p w14:paraId="3A96D697" w14:textId="1C50D77B" w:rsidR="00674976" w:rsidRPr="005E19C3" w:rsidRDefault="002741B6" w:rsidP="00674976">
      <w:pPr>
        <w:pStyle w:val="ListParagraph"/>
        <w:numPr>
          <w:ilvl w:val="0"/>
          <w:numId w:val="11"/>
        </w:numPr>
        <w:rPr>
          <w:lang w:val="en-US"/>
        </w:rPr>
      </w:pPr>
      <w:r w:rsidRPr="005E19C3">
        <w:rPr>
          <w:lang w:val="en-US"/>
        </w:rPr>
        <w:t>The</w:t>
      </w:r>
      <w:r w:rsidR="0088540A" w:rsidRPr="005E19C3">
        <w:rPr>
          <w:lang w:val="en-US"/>
        </w:rPr>
        <w:t xml:space="preserve"> name of the</w:t>
      </w:r>
      <w:r w:rsidRPr="005E19C3">
        <w:rPr>
          <w:lang w:val="en-US"/>
        </w:rPr>
        <w:t xml:space="preserve"> organization</w:t>
      </w:r>
      <w:r w:rsidR="0088540A" w:rsidRPr="005E19C3">
        <w:rPr>
          <w:lang w:val="en-US"/>
        </w:rPr>
        <w:t>;</w:t>
      </w:r>
    </w:p>
    <w:p w14:paraId="28FC15D4" w14:textId="17513BF7" w:rsidR="006810DC" w:rsidRPr="005E19C3" w:rsidRDefault="004946D1" w:rsidP="00F51DB0">
      <w:pPr>
        <w:pStyle w:val="ListParagraph"/>
        <w:numPr>
          <w:ilvl w:val="0"/>
          <w:numId w:val="11"/>
        </w:numPr>
        <w:rPr>
          <w:lang w:val="en-US"/>
        </w:rPr>
      </w:pPr>
      <w:r w:rsidRPr="005E19C3">
        <w:rPr>
          <w:lang w:val="en-US"/>
        </w:rPr>
        <w:t xml:space="preserve">The country </w:t>
      </w:r>
      <w:r w:rsidR="0088540A" w:rsidRPr="005E19C3">
        <w:rPr>
          <w:lang w:val="en-US"/>
        </w:rPr>
        <w:t xml:space="preserve">and/or region </w:t>
      </w:r>
      <w:r w:rsidRPr="005E19C3">
        <w:rPr>
          <w:lang w:val="en-US"/>
        </w:rPr>
        <w:t>w</w:t>
      </w:r>
      <w:r w:rsidR="00767F79" w:rsidRPr="005E19C3">
        <w:rPr>
          <w:lang w:val="en-US"/>
        </w:rPr>
        <w:t>h</w:t>
      </w:r>
      <w:r w:rsidRPr="005E19C3">
        <w:rPr>
          <w:lang w:val="en-US"/>
        </w:rPr>
        <w:t>ere the organization is based</w:t>
      </w:r>
      <w:r w:rsidR="00767F79" w:rsidRPr="005E19C3">
        <w:rPr>
          <w:lang w:val="en-US"/>
        </w:rPr>
        <w:t xml:space="preserve"> </w:t>
      </w:r>
      <w:r w:rsidR="00706803" w:rsidRPr="005E19C3">
        <w:rPr>
          <w:lang w:val="en-US"/>
        </w:rPr>
        <w:t>or active.</w:t>
      </w:r>
      <w:r w:rsidR="0088540A" w:rsidRPr="005E19C3">
        <w:rPr>
          <w:lang w:val="en-US"/>
        </w:rPr>
        <w:t xml:space="preserve"> </w:t>
      </w:r>
    </w:p>
    <w:p w14:paraId="22DF0970" w14:textId="77777777" w:rsidR="00A76A25" w:rsidRPr="005E19C3" w:rsidRDefault="00A76A25" w:rsidP="00A76A25">
      <w:pPr>
        <w:pStyle w:val="ListParagraph"/>
        <w:ind w:left="1440"/>
        <w:rPr>
          <w:lang w:val="en-US"/>
        </w:rPr>
      </w:pPr>
    </w:p>
    <w:p w14:paraId="729B07BE" w14:textId="158A3126" w:rsidR="0088540A" w:rsidRPr="005E19C3" w:rsidRDefault="0088540A" w:rsidP="00F51DB0">
      <w:pPr>
        <w:pStyle w:val="ListParagraph"/>
        <w:numPr>
          <w:ilvl w:val="1"/>
          <w:numId w:val="21"/>
        </w:numPr>
        <w:rPr>
          <w:lang w:val="en-US"/>
        </w:rPr>
      </w:pPr>
      <w:r w:rsidRPr="005E19C3">
        <w:rPr>
          <w:lang w:val="en-US"/>
        </w:rPr>
        <w:t xml:space="preserve">Please </w:t>
      </w:r>
      <w:r w:rsidR="002741B6" w:rsidRPr="005E19C3">
        <w:rPr>
          <w:b/>
          <w:lang w:val="en-US"/>
        </w:rPr>
        <w:t>attach</w:t>
      </w:r>
      <w:r w:rsidR="00002CAE" w:rsidRPr="005E19C3">
        <w:rPr>
          <w:b/>
          <w:lang w:val="en-US"/>
        </w:rPr>
        <w:t xml:space="preserve"> to the email</w:t>
      </w:r>
      <w:r w:rsidR="002741B6" w:rsidRPr="005E19C3">
        <w:rPr>
          <w:b/>
          <w:lang w:val="en-US"/>
        </w:rPr>
        <w:t xml:space="preserve"> the statement</w:t>
      </w:r>
      <w:r w:rsidR="00002CAE" w:rsidRPr="005E19C3">
        <w:rPr>
          <w:b/>
          <w:lang w:val="en-US"/>
        </w:rPr>
        <w:t xml:space="preserve"> you will deliver</w:t>
      </w:r>
      <w:r w:rsidR="00F51DB0" w:rsidRPr="005E19C3">
        <w:rPr>
          <w:lang w:val="en-US"/>
        </w:rPr>
        <w:t xml:space="preserve"> </w:t>
      </w:r>
      <w:r w:rsidR="00002CAE" w:rsidRPr="005E19C3">
        <w:rPr>
          <w:lang w:val="en-US"/>
        </w:rPr>
        <w:t>during the consultation</w:t>
      </w:r>
      <w:r w:rsidR="00F51DB0" w:rsidRPr="005E19C3">
        <w:rPr>
          <w:lang w:val="en-US"/>
        </w:rPr>
        <w:t>.</w:t>
      </w:r>
      <w:r w:rsidR="002741B6" w:rsidRPr="005E19C3">
        <w:rPr>
          <w:lang w:val="en-US"/>
        </w:rPr>
        <w:t xml:space="preserve"> </w:t>
      </w:r>
      <w:r w:rsidR="00F51DB0" w:rsidRPr="005E19C3">
        <w:rPr>
          <w:lang w:val="en-US"/>
        </w:rPr>
        <w:t>Please</w:t>
      </w:r>
      <w:r w:rsidR="006E6635" w:rsidRPr="005E19C3">
        <w:rPr>
          <w:lang w:val="en-US"/>
        </w:rPr>
        <w:t xml:space="preserve"> o</w:t>
      </w:r>
      <w:r w:rsidR="00674976" w:rsidRPr="005E19C3">
        <w:rPr>
          <w:lang w:val="en-US"/>
        </w:rPr>
        <w:t xml:space="preserve">nly send </w:t>
      </w:r>
      <w:r w:rsidR="00B16CE8" w:rsidRPr="005E19C3">
        <w:rPr>
          <w:lang w:val="en-US"/>
        </w:rPr>
        <w:t>documents</w:t>
      </w:r>
      <w:r w:rsidR="00674976" w:rsidRPr="005E19C3">
        <w:rPr>
          <w:lang w:val="en-US"/>
        </w:rPr>
        <w:t xml:space="preserve"> in Word format</w:t>
      </w:r>
      <w:r w:rsidR="00B16CE8" w:rsidRPr="005E19C3">
        <w:rPr>
          <w:lang w:val="en-US"/>
        </w:rPr>
        <w:t>.</w:t>
      </w:r>
      <w:r w:rsidR="009E1C7D" w:rsidRPr="005E19C3">
        <w:rPr>
          <w:lang w:val="en-US"/>
        </w:rPr>
        <w:t xml:space="preserve"> </w:t>
      </w:r>
      <w:r w:rsidR="00B16CE8" w:rsidRPr="005E19C3">
        <w:rPr>
          <w:lang w:val="en-US"/>
        </w:rPr>
        <w:t>T</w:t>
      </w:r>
      <w:r w:rsidR="002741B6" w:rsidRPr="005E19C3">
        <w:rPr>
          <w:lang w:val="en-US"/>
        </w:rPr>
        <w:t xml:space="preserve">he maximum length of the statement is </w:t>
      </w:r>
      <w:r w:rsidR="00B16CE8" w:rsidRPr="005E19C3">
        <w:rPr>
          <w:b/>
          <w:lang w:val="en-US"/>
        </w:rPr>
        <w:t>520 words (</w:t>
      </w:r>
      <w:r w:rsidR="007655D1" w:rsidRPr="005E19C3">
        <w:rPr>
          <w:b/>
          <w:lang w:val="en-US"/>
        </w:rPr>
        <w:t>double-spaced</w:t>
      </w:r>
      <w:r w:rsidR="00B16CE8" w:rsidRPr="005E19C3">
        <w:rPr>
          <w:b/>
          <w:lang w:val="en-US"/>
        </w:rPr>
        <w:t>, 12 font</w:t>
      </w:r>
      <w:r w:rsidR="00B16CE8" w:rsidRPr="005E19C3">
        <w:rPr>
          <w:lang w:val="en-US"/>
        </w:rPr>
        <w:t>)</w:t>
      </w:r>
      <w:r w:rsidR="006E6635" w:rsidRPr="005E19C3">
        <w:rPr>
          <w:lang w:val="en-US"/>
        </w:rPr>
        <w:t>.</w:t>
      </w:r>
      <w:r w:rsidR="006810DC" w:rsidRPr="005E19C3">
        <w:rPr>
          <w:lang w:val="en-US"/>
        </w:rPr>
        <w:t xml:space="preserve"> </w:t>
      </w:r>
    </w:p>
    <w:p w14:paraId="7A69381A" w14:textId="77777777" w:rsidR="0088540A" w:rsidRPr="005E19C3" w:rsidRDefault="0088540A" w:rsidP="00F51DB0">
      <w:pPr>
        <w:pStyle w:val="ListParagraph"/>
        <w:ind w:left="360"/>
        <w:rPr>
          <w:lang w:val="en-US"/>
        </w:rPr>
      </w:pPr>
    </w:p>
    <w:p w14:paraId="0DE5E7F9" w14:textId="04821EC5" w:rsidR="00F51DB0" w:rsidRPr="005E19C3" w:rsidRDefault="00ED1289" w:rsidP="00F51DB0">
      <w:pPr>
        <w:pStyle w:val="ListParagraph"/>
        <w:numPr>
          <w:ilvl w:val="1"/>
          <w:numId w:val="21"/>
        </w:numPr>
        <w:rPr>
          <w:lang w:val="en-US"/>
        </w:rPr>
      </w:pPr>
      <w:r w:rsidRPr="005E19C3">
        <w:rPr>
          <w:lang w:val="en-US"/>
        </w:rPr>
        <w:t xml:space="preserve">Statements may be submitted </w:t>
      </w:r>
      <w:r w:rsidRPr="005E19C3">
        <w:rPr>
          <w:b/>
          <w:lang w:val="en-US"/>
        </w:rPr>
        <w:t>in</w:t>
      </w:r>
      <w:r w:rsidR="00E71F70" w:rsidRPr="005E19C3">
        <w:rPr>
          <w:b/>
          <w:lang w:val="en-US"/>
        </w:rPr>
        <w:t xml:space="preserve"> English or</w:t>
      </w:r>
      <w:r w:rsidRPr="005E19C3">
        <w:rPr>
          <w:b/>
          <w:lang w:val="en-US"/>
        </w:rPr>
        <w:t xml:space="preserve"> any of the </w:t>
      </w:r>
      <w:r w:rsidR="0088540A" w:rsidRPr="005E19C3">
        <w:rPr>
          <w:b/>
          <w:lang w:val="en-US"/>
        </w:rPr>
        <w:t xml:space="preserve">following </w:t>
      </w:r>
      <w:r w:rsidRPr="005E19C3">
        <w:rPr>
          <w:b/>
          <w:lang w:val="en-US"/>
        </w:rPr>
        <w:t>languages</w:t>
      </w:r>
      <w:r w:rsidR="0088540A" w:rsidRPr="005E19C3">
        <w:rPr>
          <w:lang w:val="en-US"/>
        </w:rPr>
        <w:t>:</w:t>
      </w:r>
      <w:r w:rsidRPr="005E19C3">
        <w:rPr>
          <w:lang w:val="en-US"/>
        </w:rPr>
        <w:t xml:space="preserve"> </w:t>
      </w:r>
    </w:p>
    <w:p w14:paraId="14D9A456" w14:textId="77777777" w:rsidR="00F51DB0" w:rsidRPr="005E19C3" w:rsidRDefault="00F51DB0" w:rsidP="00F51DB0">
      <w:pPr>
        <w:pStyle w:val="ListParagraph"/>
      </w:pPr>
    </w:p>
    <w:p w14:paraId="02EB786B" w14:textId="5786E866" w:rsidR="0088540A" w:rsidRPr="005E19C3" w:rsidRDefault="00BA2A0A" w:rsidP="00F51DB0">
      <w:pPr>
        <w:pStyle w:val="ListParagraph"/>
        <w:numPr>
          <w:ilvl w:val="0"/>
          <w:numId w:val="23"/>
        </w:numPr>
      </w:pPr>
      <w:r w:rsidRPr="005E19C3">
        <w:t xml:space="preserve">Consultation for </w:t>
      </w:r>
      <w:r w:rsidR="0088540A" w:rsidRPr="005E19C3">
        <w:t xml:space="preserve">Africa: English and French  </w:t>
      </w:r>
    </w:p>
    <w:p w14:paraId="1E77534D" w14:textId="176004E4" w:rsidR="0088540A" w:rsidRPr="005E19C3" w:rsidRDefault="00002CAE" w:rsidP="0088540A">
      <w:pPr>
        <w:pStyle w:val="ListParagraph"/>
        <w:numPr>
          <w:ilvl w:val="0"/>
          <w:numId w:val="12"/>
        </w:numPr>
      </w:pPr>
      <w:r w:rsidRPr="005E19C3">
        <w:t xml:space="preserve">Consultation for </w:t>
      </w:r>
      <w:r w:rsidR="0088540A" w:rsidRPr="005E19C3">
        <w:t>Asia-Pacific: English</w:t>
      </w:r>
    </w:p>
    <w:p w14:paraId="62C36DD1" w14:textId="7CC48F82" w:rsidR="0088540A" w:rsidRPr="005E19C3" w:rsidRDefault="00002CAE" w:rsidP="0088540A">
      <w:pPr>
        <w:pStyle w:val="ListParagraph"/>
        <w:numPr>
          <w:ilvl w:val="0"/>
          <w:numId w:val="12"/>
        </w:numPr>
      </w:pPr>
      <w:r w:rsidRPr="005E19C3">
        <w:t xml:space="preserve">Consultation for </w:t>
      </w:r>
      <w:r w:rsidR="0088540A" w:rsidRPr="005E19C3">
        <w:t>Central Asia and Eastern Europe: English and Russian</w:t>
      </w:r>
    </w:p>
    <w:p w14:paraId="7E58C848" w14:textId="7420C7AA" w:rsidR="0088540A" w:rsidRPr="005E19C3" w:rsidRDefault="00002CAE" w:rsidP="0088540A">
      <w:pPr>
        <w:pStyle w:val="ListParagraph"/>
        <w:numPr>
          <w:ilvl w:val="0"/>
          <w:numId w:val="12"/>
        </w:numPr>
      </w:pPr>
      <w:r w:rsidRPr="005E19C3">
        <w:t xml:space="preserve">Consultation for </w:t>
      </w:r>
      <w:r w:rsidR="0088540A" w:rsidRPr="005E19C3">
        <w:t>Central and South America: Spanish and Portuguese</w:t>
      </w:r>
    </w:p>
    <w:p w14:paraId="2F087ECC" w14:textId="3FE51C41" w:rsidR="0088540A" w:rsidRPr="005E19C3" w:rsidRDefault="00002CAE" w:rsidP="0088540A">
      <w:pPr>
        <w:pStyle w:val="ListParagraph"/>
        <w:numPr>
          <w:ilvl w:val="0"/>
          <w:numId w:val="12"/>
        </w:numPr>
      </w:pPr>
      <w:r w:rsidRPr="005E19C3">
        <w:t xml:space="preserve">Consultation for </w:t>
      </w:r>
      <w:r w:rsidR="0088540A" w:rsidRPr="005E19C3">
        <w:t>North America and the Caribbean: English</w:t>
      </w:r>
    </w:p>
    <w:p w14:paraId="73F52FB3" w14:textId="734BBC81" w:rsidR="0088540A" w:rsidRPr="005E19C3" w:rsidRDefault="00002CAE" w:rsidP="0088540A">
      <w:pPr>
        <w:pStyle w:val="ListParagraph"/>
        <w:numPr>
          <w:ilvl w:val="0"/>
          <w:numId w:val="12"/>
        </w:numPr>
      </w:pPr>
      <w:r w:rsidRPr="005E19C3">
        <w:t xml:space="preserve">Consultation for </w:t>
      </w:r>
      <w:r w:rsidR="0088540A" w:rsidRPr="005E19C3">
        <w:t>European Union and Western Europe: English and French</w:t>
      </w:r>
    </w:p>
    <w:p w14:paraId="2033CCD5" w14:textId="62F76821" w:rsidR="0088540A" w:rsidRPr="005E19C3" w:rsidRDefault="00002CAE" w:rsidP="0088540A">
      <w:pPr>
        <w:pStyle w:val="ListParagraph"/>
        <w:numPr>
          <w:ilvl w:val="0"/>
          <w:numId w:val="12"/>
        </w:numPr>
      </w:pPr>
      <w:r w:rsidRPr="005E19C3">
        <w:t xml:space="preserve">Consultation for </w:t>
      </w:r>
      <w:r w:rsidR="0088540A" w:rsidRPr="005E19C3">
        <w:t xml:space="preserve">Middle East and North Africa: </w:t>
      </w:r>
      <w:r w:rsidR="00F51DB0" w:rsidRPr="005E19C3">
        <w:t xml:space="preserve">Arabic and </w:t>
      </w:r>
      <w:r w:rsidR="0088540A" w:rsidRPr="005E19C3">
        <w:t>English</w:t>
      </w:r>
    </w:p>
    <w:p w14:paraId="23F5C166" w14:textId="77777777" w:rsidR="0088540A" w:rsidRPr="005E19C3" w:rsidRDefault="0088540A" w:rsidP="00F51DB0">
      <w:pPr>
        <w:pStyle w:val="ListParagraph"/>
        <w:ind w:left="360"/>
        <w:rPr>
          <w:u w:val="single"/>
        </w:rPr>
      </w:pPr>
    </w:p>
    <w:p w14:paraId="667CB0D9" w14:textId="331F3A7E" w:rsidR="0088540A" w:rsidRPr="005E19C3" w:rsidRDefault="0088540A" w:rsidP="00F51DB0">
      <w:pPr>
        <w:pStyle w:val="ListParagraph"/>
        <w:numPr>
          <w:ilvl w:val="1"/>
          <w:numId w:val="21"/>
        </w:numPr>
      </w:pPr>
      <w:r w:rsidRPr="005E19C3">
        <w:t>Deadlines to register and to submit statements</w:t>
      </w:r>
      <w:r w:rsidR="006D14AF" w:rsidRPr="005E19C3">
        <w:t>:</w:t>
      </w:r>
    </w:p>
    <w:p w14:paraId="3BD05411" w14:textId="77777777" w:rsidR="0088540A" w:rsidRPr="005E19C3" w:rsidRDefault="0088540A" w:rsidP="00F51DB0">
      <w:pPr>
        <w:pStyle w:val="ListParagraph"/>
        <w:ind w:left="360"/>
        <w:rPr>
          <w:u w:val="single"/>
        </w:rPr>
      </w:pPr>
    </w:p>
    <w:p w14:paraId="27849047" w14:textId="512D953D" w:rsidR="0088540A" w:rsidRPr="005E19C3" w:rsidRDefault="0088540A" w:rsidP="00706803">
      <w:pPr>
        <w:pStyle w:val="ListParagraph"/>
        <w:numPr>
          <w:ilvl w:val="0"/>
          <w:numId w:val="24"/>
        </w:numPr>
      </w:pPr>
      <w:r w:rsidRPr="005E19C3">
        <w:t>For the regional consultation in Eastern Europe and Central Asia</w:t>
      </w:r>
      <w:r w:rsidR="00706803" w:rsidRPr="005E19C3">
        <w:t xml:space="preserve"> by</w:t>
      </w:r>
      <w:r w:rsidRPr="005E19C3">
        <w:t xml:space="preserve"> </w:t>
      </w:r>
      <w:r w:rsidR="002466FE" w:rsidRPr="005E19C3">
        <w:rPr>
          <w:b/>
        </w:rPr>
        <w:t>Friday 12</w:t>
      </w:r>
      <w:r w:rsidRPr="005E19C3">
        <w:rPr>
          <w:b/>
        </w:rPr>
        <w:t xml:space="preserve"> February 2021</w:t>
      </w:r>
      <w:r w:rsidRPr="005E19C3">
        <w:t>;</w:t>
      </w:r>
    </w:p>
    <w:p w14:paraId="098E7383" w14:textId="1C21F4C8" w:rsidR="0088540A" w:rsidRPr="005E19C3" w:rsidRDefault="0088540A" w:rsidP="00706803">
      <w:pPr>
        <w:pStyle w:val="ListParagraph"/>
        <w:numPr>
          <w:ilvl w:val="0"/>
          <w:numId w:val="24"/>
        </w:numPr>
      </w:pPr>
      <w:r w:rsidRPr="005E19C3">
        <w:t xml:space="preserve">For the regional consultation in Central and South America </w:t>
      </w:r>
      <w:r w:rsidR="00706803" w:rsidRPr="005E19C3">
        <w:t xml:space="preserve">by </w:t>
      </w:r>
      <w:r w:rsidR="002466FE" w:rsidRPr="005E19C3">
        <w:rPr>
          <w:b/>
        </w:rPr>
        <w:t>Tuesday 16</w:t>
      </w:r>
      <w:r w:rsidRPr="005E19C3">
        <w:rPr>
          <w:b/>
        </w:rPr>
        <w:t xml:space="preserve"> February 2021</w:t>
      </w:r>
      <w:r w:rsidRPr="005E19C3">
        <w:t>;</w:t>
      </w:r>
    </w:p>
    <w:p w14:paraId="22125859" w14:textId="69D403BA" w:rsidR="005E19C3" w:rsidRDefault="0088540A" w:rsidP="005E19C3">
      <w:pPr>
        <w:pStyle w:val="ListParagraph"/>
        <w:numPr>
          <w:ilvl w:val="0"/>
          <w:numId w:val="24"/>
        </w:numPr>
      </w:pPr>
      <w:r w:rsidRPr="005E19C3">
        <w:t xml:space="preserve">For other regional consultations, dates will be confirmed later on. </w:t>
      </w:r>
    </w:p>
    <w:p w14:paraId="059FD908" w14:textId="77777777" w:rsidR="00220519" w:rsidRPr="005E19C3" w:rsidRDefault="00220519" w:rsidP="00220519">
      <w:pPr>
        <w:pStyle w:val="ListParagraph"/>
      </w:pPr>
    </w:p>
    <w:p w14:paraId="7570004B" w14:textId="76A613BE" w:rsidR="0088540A" w:rsidRPr="005E19C3" w:rsidRDefault="006D14AF" w:rsidP="0088540A">
      <w:pPr>
        <w:rPr>
          <w:lang w:val="en-US"/>
        </w:rPr>
      </w:pPr>
      <w:r w:rsidRPr="005E19C3">
        <w:rPr>
          <w:lang w:val="en-US"/>
        </w:rPr>
        <w:t xml:space="preserve">5.6 </w:t>
      </w:r>
      <w:r w:rsidR="0088540A" w:rsidRPr="005E19C3">
        <w:rPr>
          <w:lang w:val="en-US"/>
        </w:rPr>
        <w:t xml:space="preserve"> Suggested </w:t>
      </w:r>
      <w:r w:rsidR="0088540A" w:rsidRPr="005E19C3">
        <w:rPr>
          <w:b/>
          <w:lang w:val="en-US"/>
        </w:rPr>
        <w:t>topics</w:t>
      </w:r>
      <w:r w:rsidR="0088540A" w:rsidRPr="005E19C3">
        <w:rPr>
          <w:lang w:val="en-US"/>
        </w:rPr>
        <w:t xml:space="preserve"> to be covered</w:t>
      </w:r>
      <w:r w:rsidR="002466FE" w:rsidRPr="005E19C3">
        <w:rPr>
          <w:lang w:val="en-US"/>
        </w:rPr>
        <w:t>/guiding questions</w:t>
      </w:r>
      <w:r w:rsidR="0088540A" w:rsidRPr="005E19C3">
        <w:rPr>
          <w:lang w:val="en-US"/>
        </w:rPr>
        <w:t>:</w:t>
      </w:r>
    </w:p>
    <w:p w14:paraId="2018F7D2" w14:textId="7E24364F" w:rsidR="009D4202" w:rsidRPr="005E19C3" w:rsidRDefault="009D4202" w:rsidP="00706803">
      <w:pPr>
        <w:ind w:left="284" w:firstLine="425"/>
        <w:rPr>
          <w:rFonts w:eastAsia="Times New Roman" w:cstheme="minorHAnsi"/>
        </w:rPr>
      </w:pPr>
      <w:r w:rsidRPr="005E19C3">
        <w:rPr>
          <w:rFonts w:eastAsia="Times New Roman" w:cstheme="minorHAnsi"/>
          <w:lang w:val="en-US"/>
        </w:rPr>
        <w:t>(a)</w:t>
      </w:r>
      <w:r w:rsidRPr="005E19C3">
        <w:rPr>
          <w:rFonts w:eastAsia="Times New Roman" w:cstheme="minorHAnsi"/>
          <w:lang w:val="en-US"/>
        </w:rPr>
        <w:tab/>
      </w:r>
      <w:r w:rsidR="0088540A" w:rsidRPr="005E19C3">
        <w:rPr>
          <w:rFonts w:eastAsia="Times New Roman" w:cstheme="minorHAnsi"/>
          <w:lang w:val="en-US"/>
        </w:rPr>
        <w:t xml:space="preserve"> What measures need to be adopted to prevent persons with disabilities from being further isolated, marginalized or at risk of institutionalizat</w:t>
      </w:r>
      <w:r w:rsidRPr="005E19C3">
        <w:rPr>
          <w:rFonts w:eastAsia="Times New Roman" w:cstheme="minorHAnsi"/>
          <w:lang w:val="en-US"/>
        </w:rPr>
        <w:t>ion during the pandemic</w:t>
      </w:r>
      <w:r w:rsidR="006D14AF" w:rsidRPr="005E19C3">
        <w:rPr>
          <w:rFonts w:eastAsia="Times New Roman" w:cstheme="minorHAnsi"/>
          <w:lang w:val="en-US"/>
        </w:rPr>
        <w:t>?</w:t>
      </w:r>
      <w:r w:rsidR="00C900BD" w:rsidRPr="005E19C3">
        <w:rPr>
          <w:rFonts w:eastAsia="Times New Roman" w:cstheme="minorHAnsi"/>
          <w:lang w:val="en-US"/>
        </w:rPr>
        <w:t xml:space="preserve"> what measures should be taken to establish, maintain and strengthen </w:t>
      </w:r>
      <w:r w:rsidR="00EC0937" w:rsidRPr="005E19C3">
        <w:rPr>
          <w:rFonts w:eastAsia="Times New Roman" w:cstheme="minorHAnsi"/>
          <w:lang w:val="en-US"/>
        </w:rPr>
        <w:t xml:space="preserve">individualized </w:t>
      </w:r>
      <w:r w:rsidR="00C900BD" w:rsidRPr="005E19C3">
        <w:rPr>
          <w:rFonts w:eastAsia="Times New Roman" w:cstheme="minorHAnsi"/>
          <w:lang w:val="en-US"/>
        </w:rPr>
        <w:t xml:space="preserve">support </w:t>
      </w:r>
      <w:r w:rsidR="00EC0937" w:rsidRPr="005E19C3">
        <w:rPr>
          <w:rFonts w:eastAsia="Times New Roman" w:cstheme="minorHAnsi"/>
          <w:lang w:val="en-US"/>
        </w:rPr>
        <w:t>in social security systems</w:t>
      </w:r>
      <w:r w:rsidR="00C900BD" w:rsidRPr="005E19C3">
        <w:rPr>
          <w:rFonts w:eastAsia="Times New Roman" w:cstheme="minorHAnsi"/>
          <w:lang w:val="en-US"/>
        </w:rPr>
        <w:t>, including in the context of emergencies</w:t>
      </w:r>
      <w:r w:rsidR="00002CAE" w:rsidRPr="005E19C3">
        <w:rPr>
          <w:rFonts w:eastAsia="Times New Roman" w:cstheme="minorHAnsi"/>
          <w:lang w:val="en-US"/>
        </w:rPr>
        <w:t>, in order to prevent institutionalization</w:t>
      </w:r>
      <w:r w:rsidR="00C900BD" w:rsidRPr="005E19C3">
        <w:rPr>
          <w:rFonts w:eastAsia="Times New Roman" w:cstheme="minorHAnsi"/>
          <w:lang w:val="en-US"/>
        </w:rPr>
        <w:t xml:space="preserve">? </w:t>
      </w:r>
      <w:r w:rsidR="00EC0937" w:rsidRPr="005E19C3">
        <w:rPr>
          <w:rFonts w:eastAsia="Times New Roman" w:cstheme="minorHAnsi"/>
          <w:lang w:val="en-US"/>
        </w:rPr>
        <w:t>What n</w:t>
      </w:r>
      <w:r w:rsidR="00002CAE" w:rsidRPr="005E19C3">
        <w:rPr>
          <w:rFonts w:eastAsia="Times New Roman" w:cstheme="minorHAnsi"/>
          <w:lang w:val="en-US"/>
        </w:rPr>
        <w:t>eeds to be done to ensure that persons with disabilities continue enjoying, including in emergencies, their</w:t>
      </w:r>
      <w:r w:rsidR="00EC0937" w:rsidRPr="005E19C3">
        <w:rPr>
          <w:rFonts w:eastAsia="Times New Roman" w:cstheme="minorHAnsi"/>
          <w:lang w:val="en-US"/>
        </w:rPr>
        <w:t xml:space="preserve"> autonomy with regard to living arrangement</w:t>
      </w:r>
      <w:r w:rsidR="00002CAE" w:rsidRPr="005E19C3">
        <w:rPr>
          <w:rFonts w:eastAsia="Times New Roman" w:cstheme="minorHAnsi"/>
          <w:lang w:val="en-US"/>
        </w:rPr>
        <w:t>s</w:t>
      </w:r>
      <w:r w:rsidR="00EC0937" w:rsidRPr="005E19C3">
        <w:rPr>
          <w:rFonts w:eastAsia="Times New Roman" w:cstheme="minorHAnsi"/>
          <w:lang w:val="en-US"/>
        </w:rPr>
        <w:t xml:space="preserve">, </w:t>
      </w:r>
      <w:r w:rsidR="00002CAE" w:rsidRPr="005E19C3">
        <w:rPr>
          <w:rFonts w:eastAsia="Times New Roman" w:cstheme="minorHAnsi"/>
          <w:lang w:val="en-US"/>
        </w:rPr>
        <w:t xml:space="preserve">and their </w:t>
      </w:r>
      <w:r w:rsidR="00EC0937" w:rsidRPr="005E19C3">
        <w:rPr>
          <w:rFonts w:eastAsia="Times New Roman" w:cstheme="minorHAnsi"/>
          <w:lang w:val="en-US"/>
        </w:rPr>
        <w:t>control</w:t>
      </w:r>
      <w:r w:rsidR="00252B77" w:rsidRPr="005E19C3">
        <w:rPr>
          <w:rFonts w:eastAsia="Times New Roman" w:cstheme="minorHAnsi"/>
          <w:lang w:val="en-US"/>
        </w:rPr>
        <w:t xml:space="preserve"> over the use of </w:t>
      </w:r>
      <w:r w:rsidR="00EC0937" w:rsidRPr="005E19C3">
        <w:rPr>
          <w:rFonts w:eastAsia="Times New Roman" w:cstheme="minorHAnsi"/>
          <w:lang w:val="en-US"/>
        </w:rPr>
        <w:t>services and supports?</w:t>
      </w:r>
    </w:p>
    <w:p w14:paraId="64C82997" w14:textId="037AF683" w:rsidR="0088540A" w:rsidRPr="005E19C3" w:rsidRDefault="009D4202" w:rsidP="00706803">
      <w:pPr>
        <w:ind w:left="284" w:firstLine="425"/>
        <w:rPr>
          <w:rFonts w:eastAsia="Times New Roman" w:cstheme="minorHAnsi"/>
          <w:lang w:val="en-US"/>
        </w:rPr>
      </w:pPr>
      <w:r w:rsidRPr="005E19C3">
        <w:rPr>
          <w:rFonts w:eastAsia="Times New Roman" w:cstheme="minorHAnsi"/>
          <w:lang w:val="en-US"/>
        </w:rPr>
        <w:t>(b)</w:t>
      </w:r>
      <w:r w:rsidRPr="005E19C3">
        <w:rPr>
          <w:rFonts w:eastAsia="Times New Roman" w:cstheme="minorHAnsi"/>
          <w:lang w:val="en-US"/>
        </w:rPr>
        <w:tab/>
        <w:t xml:space="preserve"> What measures need to be adopted to ensure that persons with disabilities </w:t>
      </w:r>
      <w:r w:rsidR="00B728E8">
        <w:rPr>
          <w:rFonts w:eastAsia="Times New Roman" w:cstheme="minorHAnsi"/>
          <w:lang w:val="en-US"/>
        </w:rPr>
        <w:t xml:space="preserve">who </w:t>
      </w:r>
      <w:r w:rsidRPr="005E19C3">
        <w:rPr>
          <w:rFonts w:eastAsia="Times New Roman" w:cstheme="minorHAnsi"/>
          <w:lang w:val="en-US"/>
        </w:rPr>
        <w:t>have been institutionalized before or during the emergency can leave the institutions</w:t>
      </w:r>
      <w:r w:rsidR="00CA3362" w:rsidRPr="005E19C3">
        <w:rPr>
          <w:rFonts w:eastAsia="Times New Roman" w:cstheme="minorHAnsi"/>
          <w:lang w:val="en-US"/>
        </w:rPr>
        <w:t xml:space="preserve"> rapidly and safely</w:t>
      </w:r>
      <w:r w:rsidRPr="005E19C3">
        <w:rPr>
          <w:rFonts w:eastAsia="Times New Roman" w:cstheme="minorHAnsi"/>
          <w:lang w:val="en-US"/>
        </w:rPr>
        <w:t>, are included in the community with appropriate support, an</w:t>
      </w:r>
      <w:r w:rsidR="009E1F54">
        <w:rPr>
          <w:rFonts w:eastAsia="Times New Roman" w:cstheme="minorHAnsi"/>
          <w:lang w:val="en-US"/>
        </w:rPr>
        <w:t>d have access to</w:t>
      </w:r>
      <w:r w:rsidR="00020C05">
        <w:rPr>
          <w:rFonts w:eastAsia="Times New Roman" w:cstheme="minorHAnsi"/>
          <w:lang w:val="en-US"/>
        </w:rPr>
        <w:t xml:space="preserve"> </w:t>
      </w:r>
      <w:r w:rsidR="00B728E8">
        <w:rPr>
          <w:rFonts w:eastAsia="Times New Roman" w:cstheme="minorHAnsi"/>
          <w:lang w:val="en-US"/>
        </w:rPr>
        <w:t xml:space="preserve">accessible </w:t>
      </w:r>
      <w:r w:rsidR="00020C05">
        <w:rPr>
          <w:rFonts w:eastAsia="Times New Roman" w:cstheme="minorHAnsi"/>
          <w:lang w:val="en-US"/>
        </w:rPr>
        <w:t>mainstream facilities, goods and</w:t>
      </w:r>
      <w:r w:rsidR="009E1F54">
        <w:rPr>
          <w:rFonts w:eastAsia="Times New Roman" w:cstheme="minorHAnsi"/>
          <w:lang w:val="en-US"/>
        </w:rPr>
        <w:t xml:space="preserve"> </w:t>
      </w:r>
      <w:r w:rsidRPr="005E19C3">
        <w:rPr>
          <w:rFonts w:eastAsia="Times New Roman" w:cstheme="minorHAnsi"/>
          <w:lang w:val="en-US"/>
        </w:rPr>
        <w:t>services</w:t>
      </w:r>
      <w:r w:rsidR="009E1F54">
        <w:rPr>
          <w:rFonts w:eastAsia="Times New Roman" w:cstheme="minorHAnsi"/>
          <w:lang w:val="en-US"/>
        </w:rPr>
        <w:t xml:space="preserve"> </w:t>
      </w:r>
      <w:r w:rsidR="00020C05">
        <w:rPr>
          <w:rFonts w:eastAsia="Times New Roman" w:cstheme="minorHAnsi"/>
          <w:lang w:val="en-US"/>
        </w:rPr>
        <w:t>offered to the public</w:t>
      </w:r>
      <w:r w:rsidR="00B44D6D">
        <w:rPr>
          <w:rFonts w:eastAsia="Times New Roman" w:cstheme="minorHAnsi"/>
          <w:lang w:val="en-US"/>
        </w:rPr>
        <w:t>,</w:t>
      </w:r>
      <w:r w:rsidR="009E1F54">
        <w:rPr>
          <w:rFonts w:eastAsia="Times New Roman" w:cstheme="minorHAnsi"/>
          <w:lang w:val="en-US"/>
        </w:rPr>
        <w:t xml:space="preserve"> on an equal basis with others</w:t>
      </w:r>
      <w:r w:rsidR="006D14AF" w:rsidRPr="005E19C3">
        <w:rPr>
          <w:rFonts w:eastAsia="Times New Roman" w:cstheme="minorHAnsi"/>
          <w:lang w:val="en-US"/>
        </w:rPr>
        <w:t>?</w:t>
      </w:r>
      <w:r w:rsidR="00FF7284" w:rsidRPr="005E19C3">
        <w:rPr>
          <w:rFonts w:eastAsia="Times New Roman" w:cstheme="minorHAnsi"/>
          <w:lang w:val="en-US"/>
        </w:rPr>
        <w:t xml:space="preserve"> What </w:t>
      </w:r>
      <w:r w:rsidR="00C900BD" w:rsidRPr="005E19C3">
        <w:rPr>
          <w:rFonts w:eastAsia="Times New Roman" w:cstheme="minorHAnsi"/>
          <w:lang w:val="en-US"/>
        </w:rPr>
        <w:t xml:space="preserve">type of </w:t>
      </w:r>
      <w:r w:rsidR="0086088B" w:rsidRPr="005E19C3">
        <w:rPr>
          <w:rFonts w:eastAsia="Times New Roman" w:cstheme="minorHAnsi"/>
          <w:lang w:val="en-US"/>
        </w:rPr>
        <w:t>support</w:t>
      </w:r>
      <w:r w:rsidR="00E320DB" w:rsidRPr="005E19C3">
        <w:rPr>
          <w:rFonts w:eastAsia="Times New Roman" w:cstheme="minorHAnsi"/>
          <w:lang w:val="en-US"/>
        </w:rPr>
        <w:t xml:space="preserve">, including economic and social </w:t>
      </w:r>
      <w:r w:rsidR="0086088B" w:rsidRPr="005E19C3">
        <w:rPr>
          <w:rFonts w:eastAsia="Times New Roman" w:cstheme="minorHAnsi"/>
          <w:lang w:val="en-US"/>
        </w:rPr>
        <w:t>support</w:t>
      </w:r>
      <w:r w:rsidR="00E320DB" w:rsidRPr="005E19C3">
        <w:rPr>
          <w:rFonts w:eastAsia="Times New Roman" w:cstheme="minorHAnsi"/>
          <w:lang w:val="en-US"/>
        </w:rPr>
        <w:t>,</w:t>
      </w:r>
      <w:r w:rsidR="00C900BD" w:rsidRPr="005E19C3">
        <w:rPr>
          <w:rFonts w:eastAsia="Times New Roman" w:cstheme="minorHAnsi"/>
          <w:lang w:val="en-US"/>
        </w:rPr>
        <w:t xml:space="preserve"> should be made available for persons with disabilities to exercise their right to leave institutions</w:t>
      </w:r>
      <w:r w:rsidR="00E320DB" w:rsidRPr="005E19C3">
        <w:rPr>
          <w:rFonts w:eastAsia="Times New Roman" w:cstheme="minorHAnsi"/>
          <w:lang w:val="en-US"/>
        </w:rPr>
        <w:t xml:space="preserve">, and to establish in the community? how this </w:t>
      </w:r>
      <w:r w:rsidR="0086088B" w:rsidRPr="005E19C3">
        <w:rPr>
          <w:rFonts w:eastAsia="Times New Roman" w:cstheme="minorHAnsi"/>
          <w:lang w:val="en-US"/>
        </w:rPr>
        <w:t xml:space="preserve">support </w:t>
      </w:r>
      <w:r w:rsidR="00E320DB" w:rsidRPr="005E19C3">
        <w:rPr>
          <w:rFonts w:eastAsia="Times New Roman" w:cstheme="minorHAnsi"/>
          <w:lang w:val="en-US"/>
        </w:rPr>
        <w:t xml:space="preserve">should be </w:t>
      </w:r>
      <w:r w:rsidR="0086088B" w:rsidRPr="005E19C3">
        <w:rPr>
          <w:rFonts w:eastAsia="Times New Roman" w:cstheme="minorHAnsi"/>
          <w:lang w:val="en-US"/>
        </w:rPr>
        <w:t>provided</w:t>
      </w:r>
      <w:r w:rsidR="00E320DB" w:rsidRPr="005E19C3">
        <w:rPr>
          <w:rFonts w:eastAsia="Times New Roman" w:cstheme="minorHAnsi"/>
          <w:lang w:val="en-US"/>
        </w:rPr>
        <w:t>?</w:t>
      </w:r>
      <w:r w:rsidR="00C900BD" w:rsidRPr="005E19C3">
        <w:rPr>
          <w:rFonts w:eastAsia="Times New Roman" w:cstheme="minorHAnsi"/>
          <w:lang w:val="en-US"/>
        </w:rPr>
        <w:t xml:space="preserve"> </w:t>
      </w:r>
    </w:p>
    <w:p w14:paraId="2282B4D0" w14:textId="3529E53A" w:rsidR="00AA477D" w:rsidRPr="005E19C3" w:rsidRDefault="009D4202" w:rsidP="00706803">
      <w:pPr>
        <w:ind w:left="284" w:firstLine="425"/>
        <w:rPr>
          <w:rFonts w:eastAsia="Times New Roman" w:cstheme="minorHAnsi"/>
          <w:lang w:val="en-US"/>
        </w:rPr>
      </w:pPr>
      <w:r w:rsidRPr="005E19C3">
        <w:rPr>
          <w:rFonts w:eastAsia="Times New Roman" w:cstheme="minorHAnsi"/>
          <w:lang w:val="en-US"/>
        </w:rPr>
        <w:t>(c)</w:t>
      </w:r>
      <w:r w:rsidRPr="005E19C3">
        <w:rPr>
          <w:rFonts w:eastAsia="Times New Roman" w:cstheme="minorHAnsi"/>
          <w:lang w:val="en-US"/>
        </w:rPr>
        <w:tab/>
        <w:t>What measures need to be adopted to ensure that persons with disabilities retain their choice, autonomy and self-determination based on their will and preferences</w:t>
      </w:r>
      <w:r w:rsidR="00C91DA8" w:rsidRPr="005E19C3">
        <w:rPr>
          <w:rFonts w:eastAsia="Times New Roman" w:cstheme="minorHAnsi"/>
          <w:lang w:val="en-US"/>
        </w:rPr>
        <w:t xml:space="preserve">, including during deinstitutionalization processes, </w:t>
      </w:r>
      <w:r w:rsidRPr="005E19C3">
        <w:rPr>
          <w:rFonts w:eastAsia="Times New Roman" w:cstheme="minorHAnsi"/>
          <w:lang w:val="en-US"/>
        </w:rPr>
        <w:t>and are not subjected to institutionalization</w:t>
      </w:r>
      <w:r w:rsidR="00C91DA8" w:rsidRPr="005E19C3">
        <w:rPr>
          <w:rFonts w:eastAsia="Times New Roman" w:cstheme="minorHAnsi"/>
          <w:lang w:val="en-US"/>
        </w:rPr>
        <w:t>, re-institutionalization</w:t>
      </w:r>
      <w:r w:rsidRPr="005E19C3">
        <w:rPr>
          <w:rFonts w:eastAsia="Times New Roman" w:cstheme="minorHAnsi"/>
          <w:lang w:val="en-US"/>
        </w:rPr>
        <w:t xml:space="preserve"> and/or any form of coercion</w:t>
      </w:r>
      <w:r w:rsidR="006D14AF" w:rsidRPr="005E19C3">
        <w:rPr>
          <w:rFonts w:eastAsia="Times New Roman" w:cstheme="minorHAnsi"/>
          <w:lang w:val="en-US"/>
        </w:rPr>
        <w:t>?</w:t>
      </w:r>
      <w:r w:rsidRPr="005E19C3">
        <w:rPr>
          <w:rFonts w:eastAsia="Times New Roman" w:cstheme="minorHAnsi"/>
          <w:lang w:val="en-US"/>
        </w:rPr>
        <w:t xml:space="preserve">  </w:t>
      </w:r>
      <w:r w:rsidR="00E320DB" w:rsidRPr="005E19C3">
        <w:rPr>
          <w:rFonts w:eastAsia="Times New Roman" w:cstheme="minorHAnsi"/>
          <w:lang w:val="en-US"/>
        </w:rPr>
        <w:t>How should deinstitutionalization be carried out for persons requiring support to understand information, make decisions, and express themselves, so as to fully respect their rights, will and preferences throughout the process?</w:t>
      </w:r>
    </w:p>
    <w:p w14:paraId="0AE9FCB7" w14:textId="02DB0C8A" w:rsidR="00F44C34" w:rsidRPr="005E19C3" w:rsidRDefault="00F44C34" w:rsidP="00706803">
      <w:pPr>
        <w:ind w:left="284" w:firstLine="425"/>
        <w:rPr>
          <w:rFonts w:eastAsia="Times New Roman" w:cstheme="minorHAnsi"/>
        </w:rPr>
      </w:pPr>
      <w:r w:rsidRPr="005E19C3">
        <w:rPr>
          <w:rFonts w:eastAsia="Times New Roman" w:cstheme="minorHAnsi"/>
          <w:lang w:val="en-US"/>
        </w:rPr>
        <w:t>(d)</w:t>
      </w:r>
      <w:r w:rsidRPr="005E19C3">
        <w:rPr>
          <w:rFonts w:eastAsia="Times New Roman" w:cstheme="minorHAnsi"/>
          <w:lang w:val="en-US"/>
        </w:rPr>
        <w:tab/>
        <w:t xml:space="preserve">What measures need to be adopted to end </w:t>
      </w:r>
      <w:r w:rsidR="00383793" w:rsidRPr="005E19C3">
        <w:rPr>
          <w:rFonts w:eastAsia="Times New Roman" w:cstheme="minorHAnsi"/>
          <w:lang w:val="en-US"/>
        </w:rPr>
        <w:t>all</w:t>
      </w:r>
      <w:r w:rsidRPr="005E19C3">
        <w:rPr>
          <w:rFonts w:eastAsia="Times New Roman" w:cstheme="minorHAnsi"/>
          <w:lang w:val="en-US"/>
        </w:rPr>
        <w:t xml:space="preserve"> forms of institutionalization</w:t>
      </w:r>
      <w:r w:rsidR="00CA0067" w:rsidRPr="005E19C3">
        <w:rPr>
          <w:rFonts w:eastAsia="Times New Roman" w:cstheme="minorHAnsi"/>
          <w:lang w:val="en-US"/>
        </w:rPr>
        <w:t xml:space="preserve"> in legislation and practice, including</w:t>
      </w:r>
      <w:r w:rsidR="00A15F45" w:rsidRPr="005E19C3">
        <w:rPr>
          <w:rFonts w:eastAsia="Times New Roman" w:cstheme="minorHAnsi"/>
          <w:lang w:val="en-US"/>
        </w:rPr>
        <w:t xml:space="preserve"> </w:t>
      </w:r>
      <w:r w:rsidRPr="005E19C3">
        <w:rPr>
          <w:rFonts w:eastAsia="Times New Roman" w:cstheme="minorHAnsi"/>
          <w:lang w:val="en-US"/>
        </w:rPr>
        <w:t xml:space="preserve">placement in small or large group homes or family-like settings, special schools, colonies for persons affected by leprosy, </w:t>
      </w:r>
      <w:r w:rsidR="00C900BD" w:rsidRPr="005E19C3">
        <w:rPr>
          <w:rFonts w:eastAsia="Times New Roman" w:cstheme="minorHAnsi"/>
          <w:lang w:val="en-US"/>
        </w:rPr>
        <w:t xml:space="preserve">all mental health settings, </w:t>
      </w:r>
      <w:r w:rsidRPr="005E19C3">
        <w:rPr>
          <w:rFonts w:eastAsia="Times New Roman" w:cstheme="minorHAnsi"/>
          <w:lang w:val="en-US"/>
        </w:rPr>
        <w:t>religious or faith healing settings, criminal forensic detention</w:t>
      </w:r>
      <w:r w:rsidR="00CA0067" w:rsidRPr="005E19C3">
        <w:rPr>
          <w:rFonts w:eastAsia="Times New Roman" w:cstheme="minorHAnsi"/>
          <w:lang w:val="en-US"/>
        </w:rPr>
        <w:t>, or any other places where persons with disabilities are deprived of their liberty</w:t>
      </w:r>
      <w:r w:rsidR="006D14AF" w:rsidRPr="005E19C3">
        <w:rPr>
          <w:rFonts w:eastAsia="Times New Roman" w:cstheme="minorHAnsi"/>
          <w:lang w:val="en-US"/>
        </w:rPr>
        <w:t>?</w:t>
      </w:r>
      <w:r w:rsidR="00CA0067" w:rsidRPr="005E19C3">
        <w:rPr>
          <w:rFonts w:eastAsia="Times New Roman" w:cstheme="minorHAnsi"/>
          <w:lang w:val="en-US"/>
        </w:rPr>
        <w:t xml:space="preserve"> </w:t>
      </w:r>
    </w:p>
    <w:p w14:paraId="6DF078DE" w14:textId="40D4BC37" w:rsidR="0088540A" w:rsidRPr="005E19C3" w:rsidRDefault="00F44C34" w:rsidP="00706803">
      <w:pPr>
        <w:ind w:left="284" w:firstLine="425"/>
        <w:rPr>
          <w:rFonts w:eastAsia="Times New Roman" w:cstheme="minorHAnsi"/>
          <w:lang w:val="en-US"/>
        </w:rPr>
      </w:pPr>
      <w:r w:rsidRPr="005E19C3">
        <w:rPr>
          <w:rFonts w:eastAsia="Times New Roman" w:cstheme="minorHAnsi"/>
          <w:lang w:val="en-US"/>
        </w:rPr>
        <w:t>(e</w:t>
      </w:r>
      <w:r w:rsidR="00CA3362" w:rsidRPr="005E19C3">
        <w:rPr>
          <w:rFonts w:eastAsia="Times New Roman" w:cstheme="minorHAnsi"/>
          <w:lang w:val="en-US"/>
        </w:rPr>
        <w:t>)</w:t>
      </w:r>
      <w:r w:rsidR="00CA3362" w:rsidRPr="005E19C3">
        <w:rPr>
          <w:rFonts w:eastAsia="Times New Roman" w:cstheme="minorHAnsi"/>
          <w:lang w:val="en-US"/>
        </w:rPr>
        <w:tab/>
        <w:t xml:space="preserve">What measures need to be adopted to address the </w:t>
      </w:r>
      <w:r w:rsidR="00383793" w:rsidRPr="005E19C3">
        <w:rPr>
          <w:rFonts w:eastAsia="Times New Roman" w:cstheme="minorHAnsi"/>
          <w:lang w:val="en-US"/>
        </w:rPr>
        <w:t xml:space="preserve">situation </w:t>
      </w:r>
      <w:r w:rsidR="00CA3362" w:rsidRPr="005E19C3">
        <w:rPr>
          <w:rFonts w:eastAsia="Times New Roman" w:cstheme="minorHAnsi"/>
          <w:lang w:val="en-US"/>
        </w:rPr>
        <w:t xml:space="preserve">of </w:t>
      </w:r>
      <w:r w:rsidR="00383793" w:rsidRPr="005E19C3">
        <w:rPr>
          <w:rFonts w:eastAsia="Times New Roman" w:cstheme="minorHAnsi"/>
          <w:lang w:val="en-US"/>
        </w:rPr>
        <w:t xml:space="preserve">specific </w:t>
      </w:r>
      <w:r w:rsidR="0088540A" w:rsidRPr="005E19C3">
        <w:rPr>
          <w:rFonts w:eastAsia="Times New Roman" w:cstheme="minorHAnsi"/>
          <w:lang w:val="en-US"/>
        </w:rPr>
        <w:t>groups</w:t>
      </w:r>
      <w:r w:rsidR="00CA3362" w:rsidRPr="005E19C3">
        <w:rPr>
          <w:rFonts w:eastAsia="Times New Roman" w:cstheme="minorHAnsi"/>
          <w:lang w:val="en-US"/>
        </w:rPr>
        <w:t>, such as children with disabilities, young persons with disabilities,</w:t>
      </w:r>
      <w:r w:rsidR="00C674FC" w:rsidRPr="005E19C3">
        <w:rPr>
          <w:rFonts w:eastAsia="Times New Roman" w:cstheme="minorHAnsi"/>
          <w:lang w:val="en-US"/>
        </w:rPr>
        <w:t xml:space="preserve"> </w:t>
      </w:r>
      <w:r w:rsidR="00CA3362" w:rsidRPr="005E19C3">
        <w:rPr>
          <w:rFonts w:eastAsia="Times New Roman" w:cstheme="minorHAnsi"/>
          <w:lang w:val="en-US"/>
        </w:rPr>
        <w:t xml:space="preserve">older persons with disabilities, </w:t>
      </w:r>
      <w:r w:rsidR="00C91DA8" w:rsidRPr="005E19C3">
        <w:rPr>
          <w:rFonts w:eastAsia="Times New Roman" w:cstheme="minorHAnsi"/>
          <w:lang w:val="en-US"/>
        </w:rPr>
        <w:t xml:space="preserve">persons requiring high levels of support, </w:t>
      </w:r>
      <w:r w:rsidR="00CA3362" w:rsidRPr="005E19C3">
        <w:rPr>
          <w:rFonts w:eastAsia="Times New Roman" w:cstheme="minorHAnsi"/>
          <w:lang w:val="en-US"/>
        </w:rPr>
        <w:t>women with disabilities, persons with intellectual disabilities, persons with psychosocial disabilities or any group that is</w:t>
      </w:r>
      <w:r w:rsidR="0088540A" w:rsidRPr="005E19C3">
        <w:rPr>
          <w:rFonts w:eastAsia="Times New Roman" w:cstheme="minorHAnsi"/>
          <w:lang w:val="en-US"/>
        </w:rPr>
        <w:t xml:space="preserve"> at </w:t>
      </w:r>
      <w:r w:rsidR="00CA3362" w:rsidRPr="005E19C3">
        <w:rPr>
          <w:rFonts w:eastAsia="Times New Roman" w:cstheme="minorHAnsi"/>
          <w:lang w:val="en-US"/>
        </w:rPr>
        <w:t xml:space="preserve">a high </w:t>
      </w:r>
      <w:r w:rsidR="0088540A" w:rsidRPr="005E19C3">
        <w:rPr>
          <w:rFonts w:eastAsia="Times New Roman" w:cstheme="minorHAnsi"/>
          <w:lang w:val="en-US"/>
        </w:rPr>
        <w:t>risk of institutionalization</w:t>
      </w:r>
      <w:r w:rsidR="00CA3362" w:rsidRPr="005E19C3">
        <w:rPr>
          <w:rFonts w:eastAsia="Times New Roman" w:cstheme="minorHAnsi"/>
          <w:lang w:val="en-US"/>
        </w:rPr>
        <w:t>,</w:t>
      </w:r>
      <w:r w:rsidR="0088540A" w:rsidRPr="005E19C3">
        <w:rPr>
          <w:rFonts w:eastAsia="Times New Roman" w:cstheme="minorHAnsi"/>
          <w:lang w:val="en-US"/>
        </w:rPr>
        <w:t xml:space="preserve"> reinstitutionalization</w:t>
      </w:r>
      <w:r w:rsidR="00CA3362" w:rsidRPr="005E19C3">
        <w:rPr>
          <w:rFonts w:eastAsia="Times New Roman" w:cstheme="minorHAnsi"/>
          <w:lang w:val="en-US"/>
        </w:rPr>
        <w:t>, isolation, and coercion</w:t>
      </w:r>
      <w:r w:rsidR="006D14AF" w:rsidRPr="005E19C3">
        <w:rPr>
          <w:rFonts w:eastAsia="Times New Roman" w:cstheme="minorHAnsi"/>
          <w:lang w:val="en-US"/>
        </w:rPr>
        <w:t>?</w:t>
      </w:r>
      <w:r w:rsidR="00383793" w:rsidRPr="005E19C3">
        <w:rPr>
          <w:rFonts w:eastAsia="Times New Roman" w:cstheme="minorHAnsi"/>
          <w:lang w:val="en-US"/>
        </w:rPr>
        <w:t xml:space="preserve"> what </w:t>
      </w:r>
      <w:r w:rsidR="00AB7771" w:rsidRPr="005E19C3">
        <w:rPr>
          <w:rFonts w:eastAsia="Times New Roman" w:cstheme="minorHAnsi"/>
          <w:lang w:val="en-US"/>
        </w:rPr>
        <w:t xml:space="preserve">needs to be done to eliminate discrimination against these groups in </w:t>
      </w:r>
      <w:r w:rsidR="00383793" w:rsidRPr="005E19C3">
        <w:rPr>
          <w:rFonts w:eastAsia="Times New Roman" w:cstheme="minorHAnsi"/>
          <w:lang w:val="en-US"/>
        </w:rPr>
        <w:t>l</w:t>
      </w:r>
      <w:r w:rsidR="00AB7771" w:rsidRPr="005E19C3">
        <w:rPr>
          <w:rFonts w:eastAsia="Times New Roman" w:cstheme="minorHAnsi"/>
          <w:lang w:val="en-US"/>
        </w:rPr>
        <w:t xml:space="preserve">egislation and in practice, and to allow them to freely enjoy their right to </w:t>
      </w:r>
      <w:r w:rsidR="00383793" w:rsidRPr="005E19C3">
        <w:rPr>
          <w:rFonts w:eastAsia="Times New Roman" w:cstheme="minorHAnsi"/>
          <w:lang w:val="en-US"/>
        </w:rPr>
        <w:t>live independently</w:t>
      </w:r>
      <w:r w:rsidR="008E48E0" w:rsidRPr="005E19C3">
        <w:rPr>
          <w:rFonts w:eastAsia="Times New Roman" w:cstheme="minorHAnsi"/>
          <w:lang w:val="en-US"/>
        </w:rPr>
        <w:t>?</w:t>
      </w:r>
    </w:p>
    <w:p w14:paraId="24CD4BD7" w14:textId="25F50045" w:rsidR="00202059" w:rsidRPr="005E19C3" w:rsidRDefault="00202059" w:rsidP="00706803">
      <w:pPr>
        <w:ind w:left="284" w:firstLine="425"/>
        <w:rPr>
          <w:rFonts w:eastAsia="Times New Roman" w:cstheme="minorHAnsi"/>
          <w:lang w:val="en-US"/>
        </w:rPr>
      </w:pPr>
      <w:r w:rsidRPr="005E19C3">
        <w:rPr>
          <w:rFonts w:eastAsia="Times New Roman" w:cstheme="minorHAnsi"/>
          <w:lang w:val="en-US"/>
        </w:rPr>
        <w:t>(f)</w:t>
      </w:r>
      <w:r w:rsidRPr="005E19C3">
        <w:rPr>
          <w:rFonts w:eastAsia="Times New Roman" w:cstheme="minorHAnsi"/>
          <w:lang w:val="en-US"/>
        </w:rPr>
        <w:tab/>
        <w:t>What kinds of disability-rel</w:t>
      </w:r>
      <w:r w:rsidR="00F87A46" w:rsidRPr="005E19C3">
        <w:rPr>
          <w:rFonts w:eastAsia="Times New Roman" w:cstheme="minorHAnsi"/>
          <w:lang w:val="en-US"/>
        </w:rPr>
        <w:t>ated support is required</w:t>
      </w:r>
      <w:r w:rsidRPr="005E19C3">
        <w:rPr>
          <w:rFonts w:eastAsia="Times New Roman" w:cstheme="minorHAnsi"/>
          <w:lang w:val="en-US"/>
        </w:rPr>
        <w:t xml:space="preserve"> for the specific group you are part of, to meet long-term, </w:t>
      </w:r>
      <w:r w:rsidR="00F87A46" w:rsidRPr="005E19C3">
        <w:rPr>
          <w:rFonts w:eastAsia="Times New Roman" w:cstheme="minorHAnsi"/>
          <w:lang w:val="en-US"/>
        </w:rPr>
        <w:t>periodic</w:t>
      </w:r>
      <w:r w:rsidRPr="005E19C3">
        <w:rPr>
          <w:rFonts w:eastAsia="Times New Roman" w:cstheme="minorHAnsi"/>
          <w:lang w:val="en-US"/>
        </w:rPr>
        <w:t xml:space="preserve">, and transitory </w:t>
      </w:r>
      <w:r w:rsidR="00F87A46" w:rsidRPr="005E19C3">
        <w:rPr>
          <w:rFonts w:eastAsia="Times New Roman" w:cstheme="minorHAnsi"/>
          <w:lang w:val="en-US"/>
        </w:rPr>
        <w:t>requirements</w:t>
      </w:r>
      <w:r w:rsidRPr="005E19C3">
        <w:rPr>
          <w:rFonts w:eastAsia="Times New Roman" w:cstheme="minorHAnsi"/>
          <w:lang w:val="en-US"/>
        </w:rPr>
        <w:t>, including crisis support?</w:t>
      </w:r>
    </w:p>
    <w:p w14:paraId="7E2F95E1" w14:textId="6F291FD2" w:rsidR="00C900BD" w:rsidRPr="005E19C3" w:rsidRDefault="00202059" w:rsidP="00706803">
      <w:pPr>
        <w:ind w:left="284" w:firstLine="425"/>
        <w:rPr>
          <w:rFonts w:eastAsia="Times New Roman" w:cstheme="minorHAnsi"/>
          <w:lang w:val="en-US"/>
        </w:rPr>
      </w:pPr>
      <w:r w:rsidRPr="005E19C3">
        <w:rPr>
          <w:rFonts w:eastAsia="Times New Roman" w:cstheme="minorHAnsi"/>
          <w:lang w:val="en-US"/>
        </w:rPr>
        <w:t>(g</w:t>
      </w:r>
      <w:r w:rsidR="00C900BD" w:rsidRPr="005E19C3">
        <w:rPr>
          <w:rFonts w:eastAsia="Times New Roman" w:cstheme="minorHAnsi"/>
          <w:lang w:val="en-US"/>
        </w:rPr>
        <w:t>)</w:t>
      </w:r>
      <w:r w:rsidR="00C900BD" w:rsidRPr="005E19C3">
        <w:rPr>
          <w:rFonts w:eastAsia="Times New Roman" w:cstheme="minorHAnsi"/>
          <w:lang w:val="en-US"/>
        </w:rPr>
        <w:tab/>
        <w:t>What kinds of remedies and redress should be available for</w:t>
      </w:r>
      <w:r w:rsidR="00F87A46" w:rsidRPr="005E19C3">
        <w:rPr>
          <w:rFonts w:eastAsia="Times New Roman" w:cstheme="minorHAnsi"/>
          <w:lang w:val="en-US"/>
        </w:rPr>
        <w:t xml:space="preserve"> persons with disabilities who have been institutionalized, and/or </w:t>
      </w:r>
      <w:r w:rsidR="00C900BD" w:rsidRPr="005E19C3">
        <w:rPr>
          <w:rFonts w:eastAsia="Times New Roman" w:cstheme="minorHAnsi"/>
          <w:lang w:val="en-US"/>
        </w:rPr>
        <w:t xml:space="preserve">subjected to </w:t>
      </w:r>
      <w:r w:rsidR="00F87A46" w:rsidRPr="005E19C3">
        <w:rPr>
          <w:rFonts w:eastAsia="Times New Roman" w:cstheme="minorHAnsi"/>
        </w:rPr>
        <w:t xml:space="preserve">any form of </w:t>
      </w:r>
      <w:r w:rsidR="00C900BD" w:rsidRPr="005E19C3">
        <w:rPr>
          <w:rFonts w:eastAsia="Times New Roman" w:cstheme="minorHAnsi"/>
          <w:lang w:val="en-US"/>
        </w:rPr>
        <w:t>arbitrary detention</w:t>
      </w:r>
      <w:r w:rsidR="00F87A46" w:rsidRPr="005E19C3">
        <w:rPr>
          <w:rFonts w:eastAsia="Times New Roman" w:cstheme="minorHAnsi"/>
          <w:lang w:val="en-US"/>
        </w:rPr>
        <w:t>,</w:t>
      </w:r>
      <w:r w:rsidR="00C900BD" w:rsidRPr="005E19C3">
        <w:rPr>
          <w:rFonts w:eastAsia="Times New Roman" w:cstheme="minorHAnsi"/>
          <w:lang w:val="en-US"/>
        </w:rPr>
        <w:t xml:space="preserve"> form</w:t>
      </w:r>
      <w:r w:rsidR="00F87A46" w:rsidRPr="005E19C3">
        <w:rPr>
          <w:rFonts w:eastAsia="Times New Roman" w:cstheme="minorHAnsi"/>
          <w:lang w:val="en-US"/>
        </w:rPr>
        <w:t>s</w:t>
      </w:r>
      <w:r w:rsidR="00C900BD" w:rsidRPr="005E19C3">
        <w:rPr>
          <w:rFonts w:eastAsia="Times New Roman" w:cstheme="minorHAnsi"/>
          <w:lang w:val="en-US"/>
        </w:rPr>
        <w:t xml:space="preserve"> of torture, other inhuman or degrading treatment or other coercive and harmful practices in connection with institutionalization?</w:t>
      </w:r>
    </w:p>
    <w:p w14:paraId="3A6F150C" w14:textId="53FB7928" w:rsidR="0088540A" w:rsidRPr="005E19C3" w:rsidRDefault="00F44C34" w:rsidP="00706803">
      <w:pPr>
        <w:spacing w:after="0" w:line="240" w:lineRule="auto"/>
        <w:ind w:left="284" w:firstLine="425"/>
        <w:rPr>
          <w:rFonts w:eastAsia="Times New Roman" w:cstheme="minorHAnsi"/>
          <w:lang w:val="en-US"/>
        </w:rPr>
      </w:pPr>
      <w:r w:rsidRPr="005E19C3">
        <w:rPr>
          <w:rFonts w:eastAsia="Times New Roman" w:cstheme="minorHAnsi"/>
          <w:lang w:val="en-US"/>
        </w:rPr>
        <w:t>(</w:t>
      </w:r>
      <w:r w:rsidR="00202059" w:rsidRPr="005E19C3">
        <w:rPr>
          <w:rFonts w:eastAsia="Times New Roman" w:cstheme="minorHAnsi"/>
          <w:lang w:val="en-US"/>
        </w:rPr>
        <w:t>h</w:t>
      </w:r>
      <w:r w:rsidR="00CA3362" w:rsidRPr="005E19C3">
        <w:rPr>
          <w:rFonts w:eastAsia="Times New Roman" w:cstheme="minorHAnsi"/>
          <w:lang w:val="en-US"/>
        </w:rPr>
        <w:t>)</w:t>
      </w:r>
      <w:r w:rsidR="00CA3362" w:rsidRPr="005E19C3">
        <w:rPr>
          <w:rFonts w:eastAsia="Times New Roman" w:cstheme="minorHAnsi"/>
          <w:lang w:val="en-US"/>
        </w:rPr>
        <w:tab/>
        <w:t xml:space="preserve">What should be the role of actors, such as State agencies, private sector, charities, families, civil society organizations, and national human rights institutions in ensuring that any measures, including those to counteract the pandemic are meaningful in operationalizing inclusion </w:t>
      </w:r>
      <w:r w:rsidR="00202059" w:rsidRPr="005E19C3">
        <w:rPr>
          <w:rFonts w:eastAsia="Times New Roman" w:cstheme="minorHAnsi"/>
          <w:lang w:val="en-US"/>
        </w:rPr>
        <w:t>o</w:t>
      </w:r>
      <w:r w:rsidR="00CA3362" w:rsidRPr="005E19C3">
        <w:rPr>
          <w:rFonts w:eastAsia="Times New Roman" w:cstheme="minorHAnsi"/>
          <w:lang w:val="en-US"/>
        </w:rPr>
        <w:t>f persons with disabilities in the community, and in avoiding institutionalization, reinstitutionalization, isolation and coercion?</w:t>
      </w:r>
    </w:p>
    <w:p w14:paraId="74187DF9" w14:textId="6FF774D6" w:rsidR="00C91DA8" w:rsidRPr="005E19C3" w:rsidRDefault="00C91DA8" w:rsidP="00706803">
      <w:pPr>
        <w:spacing w:after="0" w:line="240" w:lineRule="auto"/>
        <w:ind w:left="284" w:firstLine="425"/>
        <w:rPr>
          <w:rFonts w:eastAsia="Times New Roman" w:cstheme="minorHAnsi"/>
          <w:lang w:val="en-US"/>
        </w:rPr>
      </w:pPr>
    </w:p>
    <w:p w14:paraId="069DCBD2" w14:textId="0570EA0E" w:rsidR="00B17B80" w:rsidRPr="005E19C3" w:rsidRDefault="00F44C34" w:rsidP="00706803">
      <w:pPr>
        <w:spacing w:after="0" w:line="240" w:lineRule="auto"/>
        <w:ind w:left="284" w:firstLine="425"/>
        <w:rPr>
          <w:rFonts w:eastAsia="Times New Roman" w:cstheme="minorHAnsi"/>
          <w:lang w:val="en-US"/>
        </w:rPr>
      </w:pPr>
      <w:r w:rsidRPr="005E19C3">
        <w:rPr>
          <w:rFonts w:eastAsia="Times New Roman" w:cstheme="minorHAnsi"/>
          <w:lang w:val="en-US"/>
        </w:rPr>
        <w:t>(</w:t>
      </w:r>
      <w:r w:rsidR="00202059" w:rsidRPr="005E19C3">
        <w:rPr>
          <w:rFonts w:eastAsia="Times New Roman" w:cstheme="minorHAnsi"/>
          <w:lang w:val="en-US"/>
        </w:rPr>
        <w:t>i</w:t>
      </w:r>
      <w:r w:rsidR="00C91DA8" w:rsidRPr="005E19C3">
        <w:rPr>
          <w:rFonts w:eastAsia="Times New Roman" w:cstheme="minorHAnsi"/>
          <w:lang w:val="en-US"/>
        </w:rPr>
        <w:t xml:space="preserve">) </w:t>
      </w:r>
      <w:r w:rsidR="00C91DA8" w:rsidRPr="005E19C3">
        <w:rPr>
          <w:rFonts w:eastAsia="Times New Roman" w:cstheme="minorHAnsi"/>
          <w:lang w:val="en-US"/>
        </w:rPr>
        <w:tab/>
        <w:t xml:space="preserve">Could you mention any good practices or experiences in relation to any of the </w:t>
      </w:r>
      <w:r w:rsidR="008C557E" w:rsidRPr="005E19C3">
        <w:rPr>
          <w:rFonts w:eastAsia="Times New Roman" w:cstheme="minorHAnsi"/>
          <w:lang w:val="en-US"/>
        </w:rPr>
        <w:t>above-mentioned topics</w:t>
      </w:r>
      <w:r w:rsidR="00C91DA8" w:rsidRPr="005E19C3">
        <w:rPr>
          <w:rFonts w:eastAsia="Times New Roman" w:cstheme="minorHAnsi"/>
          <w:lang w:val="en-US"/>
        </w:rPr>
        <w:t>?</w:t>
      </w:r>
      <w:r w:rsidR="00B17B80" w:rsidRPr="005E19C3">
        <w:rPr>
          <w:rFonts w:eastAsia="Times New Roman" w:cstheme="minorHAnsi"/>
          <w:lang w:val="en-US"/>
        </w:rPr>
        <w:t xml:space="preserve"> In addition, could you mention any good practices related to the participation of persons with disabilities in any of the above</w:t>
      </w:r>
      <w:r w:rsidR="00DC7C51" w:rsidRPr="005E19C3">
        <w:rPr>
          <w:rFonts w:eastAsia="Times New Roman" w:cstheme="minorHAnsi"/>
          <w:lang w:val="en-US"/>
        </w:rPr>
        <w:t>-mentioned</w:t>
      </w:r>
      <w:r w:rsidR="00B17B80" w:rsidRPr="005E19C3">
        <w:rPr>
          <w:rFonts w:eastAsia="Times New Roman" w:cstheme="minorHAnsi"/>
          <w:lang w:val="en-US"/>
        </w:rPr>
        <w:t xml:space="preserve"> topics?</w:t>
      </w:r>
    </w:p>
    <w:p w14:paraId="26D09CDD" w14:textId="237DEE70" w:rsidR="0088540A" w:rsidRPr="005E19C3" w:rsidRDefault="00C674FC" w:rsidP="008601AD">
      <w:pPr>
        <w:rPr>
          <w:lang w:val="en-US"/>
        </w:rPr>
      </w:pPr>
      <w:r w:rsidRPr="005E19C3">
        <w:rPr>
          <w:lang w:val="en-US"/>
        </w:rPr>
        <w:t xml:space="preserve"> </w:t>
      </w:r>
    </w:p>
    <w:p w14:paraId="5E282F2D" w14:textId="2A72D741" w:rsidR="00674976" w:rsidRPr="005E19C3" w:rsidRDefault="006D14AF" w:rsidP="00674976">
      <w:pPr>
        <w:rPr>
          <w:u w:val="single"/>
          <w:lang w:val="en-US"/>
        </w:rPr>
      </w:pPr>
      <w:r w:rsidRPr="005E19C3">
        <w:rPr>
          <w:lang w:val="en-US"/>
        </w:rPr>
        <w:t>5</w:t>
      </w:r>
      <w:r w:rsidR="00C674FC" w:rsidRPr="005E19C3">
        <w:rPr>
          <w:lang w:val="en-US"/>
        </w:rPr>
        <w:t>.7</w:t>
      </w:r>
      <w:r w:rsidR="00911332" w:rsidRPr="005E19C3">
        <w:rPr>
          <w:lang w:val="en-US"/>
        </w:rPr>
        <w:t xml:space="preserve">. </w:t>
      </w:r>
      <w:r w:rsidR="008601AD" w:rsidRPr="005E19C3">
        <w:rPr>
          <w:lang w:val="en-US"/>
        </w:rPr>
        <w:t xml:space="preserve">How </w:t>
      </w:r>
      <w:r w:rsidR="002F33FF" w:rsidRPr="005E19C3">
        <w:rPr>
          <w:lang w:val="en-US"/>
        </w:rPr>
        <w:t xml:space="preserve">do </w:t>
      </w:r>
      <w:r w:rsidR="008601AD" w:rsidRPr="005E19C3">
        <w:rPr>
          <w:lang w:val="en-US"/>
        </w:rPr>
        <w:t>I know my request to participate has been accepted</w:t>
      </w:r>
      <w:r w:rsidR="00076A25" w:rsidRPr="005E19C3">
        <w:rPr>
          <w:lang w:val="en-US"/>
        </w:rPr>
        <w:t>?</w:t>
      </w:r>
    </w:p>
    <w:p w14:paraId="243DA0EC" w14:textId="77777777" w:rsidR="00AA7AD0" w:rsidRPr="005E19C3" w:rsidRDefault="00AA7AD0" w:rsidP="00AA7AD0">
      <w:pPr>
        <w:pStyle w:val="ListParagraph"/>
        <w:numPr>
          <w:ilvl w:val="0"/>
          <w:numId w:val="26"/>
        </w:numPr>
      </w:pPr>
      <w:r w:rsidRPr="005E19C3">
        <w:rPr>
          <w:lang w:val="en-US"/>
        </w:rPr>
        <w:t>Y</w:t>
      </w:r>
      <w:r w:rsidR="008601AD" w:rsidRPr="005E19C3">
        <w:t>ou will receive an emai</w:t>
      </w:r>
      <w:r w:rsidR="00076A25" w:rsidRPr="005E19C3">
        <w:t>l</w:t>
      </w:r>
      <w:r w:rsidR="00C74041" w:rsidRPr="005E19C3">
        <w:t xml:space="preserve"> acknowledging you</w:t>
      </w:r>
      <w:r w:rsidR="006D14AF" w:rsidRPr="005E19C3">
        <w:t>r enrolment in the consultation;</w:t>
      </w:r>
    </w:p>
    <w:p w14:paraId="6378C9AE" w14:textId="77777777" w:rsidR="00AA7AD0" w:rsidRPr="005E19C3" w:rsidRDefault="00C74041" w:rsidP="00AA7AD0">
      <w:pPr>
        <w:pStyle w:val="ListParagraph"/>
        <w:numPr>
          <w:ilvl w:val="0"/>
          <w:numId w:val="26"/>
        </w:numPr>
      </w:pPr>
      <w:r w:rsidRPr="005E19C3">
        <w:t xml:space="preserve">You will also receive a </w:t>
      </w:r>
      <w:r w:rsidR="00076A25" w:rsidRPr="005E19C3">
        <w:t xml:space="preserve">link to </w:t>
      </w:r>
      <w:r w:rsidR="00B16CE8" w:rsidRPr="005E19C3">
        <w:t xml:space="preserve">join </w:t>
      </w:r>
      <w:r w:rsidRPr="005E19C3">
        <w:t xml:space="preserve">Zoom </w:t>
      </w:r>
      <w:r w:rsidR="00B16CE8" w:rsidRPr="005E19C3">
        <w:t>online</w:t>
      </w:r>
      <w:r w:rsidR="00076A25" w:rsidRPr="005E19C3">
        <w:t xml:space="preserve"> platform</w:t>
      </w:r>
      <w:r w:rsidR="006D14AF" w:rsidRPr="005E19C3">
        <w:t>;</w:t>
      </w:r>
    </w:p>
    <w:p w14:paraId="39BD0571" w14:textId="4B53A89F" w:rsidR="00D2009A" w:rsidRPr="005E19C3" w:rsidRDefault="008601AD" w:rsidP="00AA7AD0">
      <w:pPr>
        <w:pStyle w:val="ListParagraph"/>
        <w:numPr>
          <w:ilvl w:val="0"/>
          <w:numId w:val="26"/>
        </w:numPr>
      </w:pPr>
      <w:r w:rsidRPr="005E19C3">
        <w:t>The email will indicate the order of</w:t>
      </w:r>
      <w:r w:rsidRPr="005E19C3">
        <w:rPr>
          <w:lang w:val="en-US"/>
        </w:rPr>
        <w:t xml:space="preserve"> your intervention in the list of speakers</w:t>
      </w:r>
      <w:r w:rsidR="00C74041" w:rsidRPr="005E19C3">
        <w:rPr>
          <w:lang w:val="en-US"/>
        </w:rPr>
        <w:t>.</w:t>
      </w:r>
    </w:p>
    <w:p w14:paraId="0E5CF382" w14:textId="77777777" w:rsidR="006D14AF" w:rsidRPr="005E19C3" w:rsidRDefault="006D14AF" w:rsidP="006D14AF">
      <w:pPr>
        <w:pStyle w:val="ListParagraph"/>
        <w:rPr>
          <w:lang w:val="en-US"/>
        </w:rPr>
      </w:pPr>
    </w:p>
    <w:p w14:paraId="7AAE5552" w14:textId="760CFCEB" w:rsidR="002741B6" w:rsidRPr="005E19C3" w:rsidRDefault="00934C03" w:rsidP="002741B6">
      <w:pPr>
        <w:rPr>
          <w:u w:val="single"/>
          <w:lang w:val="en-US"/>
        </w:rPr>
      </w:pPr>
      <w:r w:rsidRPr="005E19C3">
        <w:rPr>
          <w:lang w:val="en-US"/>
        </w:rPr>
        <w:t>6</w:t>
      </w:r>
      <w:r w:rsidR="00400527" w:rsidRPr="005E19C3">
        <w:rPr>
          <w:lang w:val="en-US"/>
        </w:rPr>
        <w:t>.</w:t>
      </w:r>
      <w:r w:rsidR="007623E8" w:rsidRPr="005E19C3">
        <w:rPr>
          <w:lang w:val="en-US"/>
        </w:rPr>
        <w:t xml:space="preserve"> </w:t>
      </w:r>
      <w:r w:rsidR="002741B6" w:rsidRPr="005E19C3">
        <w:rPr>
          <w:u w:val="single"/>
          <w:lang w:val="en-US"/>
        </w:rPr>
        <w:t xml:space="preserve">What is the format of the online </w:t>
      </w:r>
      <w:r w:rsidR="002F33FF" w:rsidRPr="005E19C3">
        <w:rPr>
          <w:u w:val="single"/>
          <w:lang w:val="en-US"/>
        </w:rPr>
        <w:t xml:space="preserve">regional </w:t>
      </w:r>
      <w:r w:rsidR="005B7A38" w:rsidRPr="005E19C3">
        <w:rPr>
          <w:u w:val="single"/>
          <w:lang w:val="en-US"/>
        </w:rPr>
        <w:t>consultations</w:t>
      </w:r>
      <w:r w:rsidR="002741B6" w:rsidRPr="005E19C3">
        <w:rPr>
          <w:u w:val="single"/>
          <w:lang w:val="en-US"/>
        </w:rPr>
        <w:t>?</w:t>
      </w:r>
    </w:p>
    <w:p w14:paraId="0D0C212E" w14:textId="5C513738" w:rsidR="002741B6" w:rsidRPr="005E19C3" w:rsidRDefault="00674976" w:rsidP="00674976">
      <w:pPr>
        <w:ind w:firstLine="720"/>
        <w:rPr>
          <w:u w:val="single"/>
          <w:lang w:val="en-US"/>
        </w:rPr>
      </w:pPr>
      <w:r w:rsidRPr="005E19C3">
        <w:rPr>
          <w:lang w:val="en-US"/>
        </w:rPr>
        <w:t xml:space="preserve">(a) </w:t>
      </w:r>
      <w:r w:rsidRPr="005E19C3">
        <w:rPr>
          <w:lang w:val="en-US"/>
        </w:rPr>
        <w:tab/>
      </w:r>
      <w:r w:rsidR="002741B6" w:rsidRPr="005E19C3">
        <w:rPr>
          <w:lang w:val="en-US"/>
        </w:rPr>
        <w:t xml:space="preserve">Each </w:t>
      </w:r>
      <w:r w:rsidR="005B7A38" w:rsidRPr="005E19C3">
        <w:rPr>
          <w:lang w:val="en-US"/>
        </w:rPr>
        <w:t xml:space="preserve">consultation </w:t>
      </w:r>
      <w:r w:rsidR="002741B6" w:rsidRPr="005E19C3">
        <w:rPr>
          <w:lang w:val="en-US"/>
        </w:rPr>
        <w:t>will last</w:t>
      </w:r>
      <w:r w:rsidR="00076A25" w:rsidRPr="005E19C3">
        <w:rPr>
          <w:lang w:val="en-US"/>
        </w:rPr>
        <w:t xml:space="preserve"> up to</w:t>
      </w:r>
      <w:r w:rsidR="002741B6" w:rsidRPr="005E19C3">
        <w:rPr>
          <w:lang w:val="en-US"/>
        </w:rPr>
        <w:t xml:space="preserve"> 90 minutes</w:t>
      </w:r>
      <w:r w:rsidR="00076A25" w:rsidRPr="005E19C3">
        <w:rPr>
          <w:lang w:val="en-US"/>
        </w:rPr>
        <w:t>,</w:t>
      </w:r>
      <w:r w:rsidR="00C74041" w:rsidRPr="005E19C3">
        <w:rPr>
          <w:lang w:val="en-US"/>
        </w:rPr>
        <w:t xml:space="preserve"> and</w:t>
      </w:r>
      <w:r w:rsidR="00076A25" w:rsidRPr="005E19C3">
        <w:rPr>
          <w:lang w:val="en-US"/>
        </w:rPr>
        <w:t xml:space="preserve"> depe</w:t>
      </w:r>
      <w:r w:rsidR="007623E8" w:rsidRPr="005E19C3">
        <w:rPr>
          <w:lang w:val="en-US"/>
        </w:rPr>
        <w:t>nding on the number of speakers</w:t>
      </w:r>
      <w:r w:rsidR="00C74041" w:rsidRPr="005E19C3">
        <w:rPr>
          <w:lang w:val="en-US"/>
        </w:rPr>
        <w:t xml:space="preserve"> it may be extended</w:t>
      </w:r>
      <w:r w:rsidR="007623E8" w:rsidRPr="005E19C3">
        <w:rPr>
          <w:lang w:val="en-US"/>
        </w:rPr>
        <w:t>;</w:t>
      </w:r>
    </w:p>
    <w:p w14:paraId="74E6340F" w14:textId="13768321" w:rsidR="003156C1" w:rsidRPr="005E19C3" w:rsidRDefault="00674976" w:rsidP="00674976">
      <w:pPr>
        <w:ind w:firstLine="720"/>
        <w:rPr>
          <w:u w:val="single"/>
          <w:lang w:val="en-US"/>
        </w:rPr>
      </w:pPr>
      <w:r w:rsidRPr="005E19C3">
        <w:rPr>
          <w:lang w:val="en-US"/>
        </w:rPr>
        <w:t>(b)</w:t>
      </w:r>
      <w:r w:rsidRPr="005E19C3">
        <w:rPr>
          <w:lang w:val="en-US"/>
        </w:rPr>
        <w:tab/>
      </w:r>
      <w:r w:rsidR="00C74041" w:rsidRPr="005E19C3">
        <w:rPr>
          <w:lang w:val="en-US"/>
        </w:rPr>
        <w:t>A m</w:t>
      </w:r>
      <w:r w:rsidR="003156C1" w:rsidRPr="005E19C3">
        <w:rPr>
          <w:lang w:val="en-US"/>
        </w:rPr>
        <w:t>ember of the Committee will moderate the consultation</w:t>
      </w:r>
      <w:r w:rsidR="007623E8" w:rsidRPr="005E19C3">
        <w:rPr>
          <w:lang w:val="en-US"/>
        </w:rPr>
        <w:t>;</w:t>
      </w:r>
    </w:p>
    <w:p w14:paraId="256194E4" w14:textId="13C387A7" w:rsidR="002741B6" w:rsidRPr="005E19C3" w:rsidRDefault="00674976" w:rsidP="00C74041">
      <w:pPr>
        <w:ind w:firstLine="720"/>
        <w:rPr>
          <w:lang w:val="en-US"/>
        </w:rPr>
      </w:pPr>
      <w:r w:rsidRPr="005E19C3">
        <w:rPr>
          <w:lang w:val="en-US"/>
        </w:rPr>
        <w:t>(c)</w:t>
      </w:r>
      <w:r w:rsidRPr="005E19C3">
        <w:rPr>
          <w:lang w:val="en-US"/>
        </w:rPr>
        <w:tab/>
      </w:r>
      <w:r w:rsidR="002741B6" w:rsidRPr="005E19C3">
        <w:rPr>
          <w:lang w:val="en-US"/>
        </w:rPr>
        <w:t xml:space="preserve">Each speaker will have a </w:t>
      </w:r>
      <w:r w:rsidR="00611024" w:rsidRPr="005E19C3">
        <w:rPr>
          <w:lang w:val="en-US"/>
        </w:rPr>
        <w:t>4</w:t>
      </w:r>
      <w:r w:rsidR="002741B6" w:rsidRPr="005E19C3">
        <w:rPr>
          <w:lang w:val="en-US"/>
        </w:rPr>
        <w:t xml:space="preserve">-minute </w:t>
      </w:r>
      <w:r w:rsidR="00C74041" w:rsidRPr="005E19C3">
        <w:rPr>
          <w:lang w:val="en-US"/>
        </w:rPr>
        <w:t xml:space="preserve">speaking </w:t>
      </w:r>
      <w:r w:rsidR="002741B6" w:rsidRPr="005E19C3">
        <w:rPr>
          <w:lang w:val="en-US"/>
        </w:rPr>
        <w:t>slot</w:t>
      </w:r>
      <w:r w:rsidR="00C74041" w:rsidRPr="005E19C3">
        <w:rPr>
          <w:lang w:val="en-US"/>
        </w:rPr>
        <w:t>.</w:t>
      </w:r>
      <w:r w:rsidR="002741B6" w:rsidRPr="005E19C3">
        <w:rPr>
          <w:lang w:val="en-US"/>
        </w:rPr>
        <w:t xml:space="preserve"> </w:t>
      </w:r>
      <w:r w:rsidR="00C74041" w:rsidRPr="005E19C3">
        <w:rPr>
          <w:lang w:val="en-US"/>
        </w:rPr>
        <w:t>S</w:t>
      </w:r>
      <w:r w:rsidR="006D14AF" w:rsidRPr="005E19C3">
        <w:rPr>
          <w:lang w:val="en-US"/>
        </w:rPr>
        <w:t xml:space="preserve">peakers representing </w:t>
      </w:r>
      <w:r w:rsidR="00044E7E" w:rsidRPr="005E19C3">
        <w:rPr>
          <w:lang w:val="en-US"/>
        </w:rPr>
        <w:t xml:space="preserve">local, national, regional or </w:t>
      </w:r>
      <w:r w:rsidR="0027023B" w:rsidRPr="005E19C3">
        <w:rPr>
          <w:lang w:val="en-US"/>
        </w:rPr>
        <w:t>international</w:t>
      </w:r>
      <w:r w:rsidR="00044E7E" w:rsidRPr="005E19C3">
        <w:rPr>
          <w:lang w:val="en-US"/>
        </w:rPr>
        <w:t xml:space="preserve"> </w:t>
      </w:r>
      <w:r w:rsidR="002741B6" w:rsidRPr="005E19C3">
        <w:rPr>
          <w:lang w:val="en-US"/>
        </w:rPr>
        <w:t>coalition</w:t>
      </w:r>
      <w:r w:rsidR="0027023B" w:rsidRPr="005E19C3">
        <w:rPr>
          <w:lang w:val="en-US"/>
        </w:rPr>
        <w:t>s</w:t>
      </w:r>
      <w:r w:rsidR="002741B6" w:rsidRPr="005E19C3">
        <w:rPr>
          <w:lang w:val="en-US"/>
        </w:rPr>
        <w:t xml:space="preserve"> of organizations of persons with disabilities will have up to </w:t>
      </w:r>
      <w:r w:rsidR="00A76A25" w:rsidRPr="005E19C3">
        <w:rPr>
          <w:lang w:val="en-US"/>
        </w:rPr>
        <w:t>8</w:t>
      </w:r>
      <w:r w:rsidR="002741B6" w:rsidRPr="005E19C3">
        <w:rPr>
          <w:lang w:val="en-US"/>
        </w:rPr>
        <w:t xml:space="preserve"> minutes</w:t>
      </w:r>
      <w:r w:rsidR="007623E8" w:rsidRPr="005E19C3">
        <w:rPr>
          <w:lang w:val="en-US"/>
        </w:rPr>
        <w:t>;</w:t>
      </w:r>
    </w:p>
    <w:p w14:paraId="2B99A4A1" w14:textId="4E574BC0" w:rsidR="002741B6" w:rsidRPr="005E19C3" w:rsidRDefault="00674976" w:rsidP="00674976">
      <w:pPr>
        <w:ind w:firstLine="720"/>
        <w:rPr>
          <w:u w:val="single"/>
          <w:lang w:val="en-US"/>
        </w:rPr>
      </w:pPr>
      <w:r w:rsidRPr="005E19C3">
        <w:rPr>
          <w:lang w:val="en-US"/>
        </w:rPr>
        <w:t>(d)</w:t>
      </w:r>
      <w:r w:rsidRPr="005E19C3">
        <w:rPr>
          <w:lang w:val="en-US"/>
        </w:rPr>
        <w:tab/>
      </w:r>
      <w:r w:rsidR="002741B6" w:rsidRPr="005E19C3">
        <w:rPr>
          <w:lang w:val="en-US"/>
        </w:rPr>
        <w:t xml:space="preserve">Speakers </w:t>
      </w:r>
      <w:r w:rsidR="00C74041" w:rsidRPr="005E19C3">
        <w:rPr>
          <w:lang w:val="en-US"/>
        </w:rPr>
        <w:t>ar</w:t>
      </w:r>
      <w:r w:rsidR="006D14AF" w:rsidRPr="005E19C3">
        <w:rPr>
          <w:lang w:val="en-US"/>
        </w:rPr>
        <w:t>e</w:t>
      </w:r>
      <w:r w:rsidR="00C74041" w:rsidRPr="005E19C3">
        <w:rPr>
          <w:lang w:val="en-US"/>
        </w:rPr>
        <w:t xml:space="preserve"> invited to </w:t>
      </w:r>
      <w:r w:rsidR="002741B6" w:rsidRPr="005E19C3">
        <w:rPr>
          <w:lang w:val="en-US"/>
        </w:rPr>
        <w:t xml:space="preserve">address one or more of the topics </w:t>
      </w:r>
      <w:r w:rsidR="00C74041" w:rsidRPr="005E19C3">
        <w:rPr>
          <w:lang w:val="en-US"/>
        </w:rPr>
        <w:t>already described above</w:t>
      </w:r>
      <w:r w:rsidR="007623E8" w:rsidRPr="005E19C3">
        <w:rPr>
          <w:lang w:val="en-US"/>
        </w:rPr>
        <w:t>;</w:t>
      </w:r>
    </w:p>
    <w:p w14:paraId="77BFC253" w14:textId="29B022A5" w:rsidR="007623E8" w:rsidRPr="005E19C3" w:rsidRDefault="00674976" w:rsidP="00AA7AD0">
      <w:pPr>
        <w:ind w:firstLine="720"/>
        <w:rPr>
          <w:u w:val="single"/>
          <w:lang w:val="en-US"/>
        </w:rPr>
      </w:pPr>
      <w:r w:rsidRPr="005E19C3">
        <w:rPr>
          <w:lang w:val="en-US"/>
        </w:rPr>
        <w:t>(e)</w:t>
      </w:r>
      <w:r w:rsidRPr="005E19C3">
        <w:rPr>
          <w:lang w:val="en-US"/>
        </w:rPr>
        <w:tab/>
      </w:r>
      <w:r w:rsidR="002741B6" w:rsidRPr="005E19C3">
        <w:rPr>
          <w:lang w:val="en-US"/>
        </w:rPr>
        <w:t xml:space="preserve">Members of the </w:t>
      </w:r>
      <w:r w:rsidR="00B16CE8" w:rsidRPr="005E19C3">
        <w:rPr>
          <w:lang w:val="en-US"/>
        </w:rPr>
        <w:t>C</w:t>
      </w:r>
      <w:r w:rsidR="002741B6" w:rsidRPr="005E19C3">
        <w:rPr>
          <w:lang w:val="en-US"/>
        </w:rPr>
        <w:t xml:space="preserve">ommittee may raise </w:t>
      </w:r>
      <w:r w:rsidR="00661BCB" w:rsidRPr="005E19C3">
        <w:rPr>
          <w:lang w:val="en-US"/>
        </w:rPr>
        <w:t xml:space="preserve">additional follow-up </w:t>
      </w:r>
      <w:r w:rsidR="002741B6" w:rsidRPr="005E19C3">
        <w:rPr>
          <w:lang w:val="en-US"/>
        </w:rPr>
        <w:t>questions to the participants</w:t>
      </w:r>
      <w:r w:rsidR="00076A25" w:rsidRPr="005E19C3">
        <w:rPr>
          <w:lang w:val="en-US"/>
        </w:rPr>
        <w:t>.</w:t>
      </w:r>
    </w:p>
    <w:p w14:paraId="719FBE60" w14:textId="4E57C928" w:rsidR="002741B6" w:rsidRPr="005E19C3" w:rsidRDefault="0040596E" w:rsidP="00420C71">
      <w:pPr>
        <w:rPr>
          <w:lang w:val="en-US"/>
        </w:rPr>
      </w:pPr>
      <w:r w:rsidRPr="005E19C3">
        <w:rPr>
          <w:lang w:val="en-US"/>
        </w:rPr>
        <w:t>7</w:t>
      </w:r>
      <w:r w:rsidR="006C4EF3" w:rsidRPr="005E19C3">
        <w:rPr>
          <w:lang w:val="en-US"/>
        </w:rPr>
        <w:t xml:space="preserve">. </w:t>
      </w:r>
      <w:r w:rsidR="00C74041" w:rsidRPr="005E19C3">
        <w:rPr>
          <w:u w:val="single"/>
          <w:lang w:val="en-US"/>
        </w:rPr>
        <w:t>Captioning and International Sign Language</w:t>
      </w:r>
      <w:r w:rsidR="00420C71" w:rsidRPr="005E19C3">
        <w:rPr>
          <w:lang w:val="en-US"/>
        </w:rPr>
        <w:t>:</w:t>
      </w:r>
    </w:p>
    <w:p w14:paraId="322E5191" w14:textId="5B6FD5AE" w:rsidR="00C74041" w:rsidRPr="005E19C3" w:rsidRDefault="00C74041" w:rsidP="006D14AF">
      <w:pPr>
        <w:pStyle w:val="ListParagraph"/>
        <w:numPr>
          <w:ilvl w:val="0"/>
          <w:numId w:val="18"/>
        </w:numPr>
        <w:rPr>
          <w:lang w:val="en-US"/>
        </w:rPr>
      </w:pPr>
      <w:r w:rsidRPr="005E19C3">
        <w:rPr>
          <w:lang w:val="en-US"/>
        </w:rPr>
        <w:t xml:space="preserve">Please activate the function </w:t>
      </w:r>
      <w:r w:rsidR="00EC742A" w:rsidRPr="005E19C3">
        <w:rPr>
          <w:lang w:val="en-US"/>
        </w:rPr>
        <w:t>Captioning</w:t>
      </w:r>
      <w:r w:rsidRPr="005E19C3">
        <w:rPr>
          <w:lang w:val="en-US"/>
        </w:rPr>
        <w:t xml:space="preserve"> in your Zoom;</w:t>
      </w:r>
    </w:p>
    <w:p w14:paraId="6C655E62" w14:textId="4D60126D" w:rsidR="00C74041" w:rsidRPr="005E19C3" w:rsidRDefault="00C74041" w:rsidP="006D14AF">
      <w:pPr>
        <w:pStyle w:val="ListParagraph"/>
        <w:numPr>
          <w:ilvl w:val="0"/>
          <w:numId w:val="18"/>
        </w:numPr>
        <w:rPr>
          <w:lang w:val="en-US"/>
        </w:rPr>
      </w:pPr>
      <w:r w:rsidRPr="005E19C3">
        <w:rPr>
          <w:lang w:val="en-US"/>
        </w:rPr>
        <w:t>International Sign will be provided;</w:t>
      </w:r>
    </w:p>
    <w:p w14:paraId="1852167C" w14:textId="2B6C7088" w:rsidR="00201937" w:rsidRPr="005E19C3" w:rsidRDefault="00BD6323" w:rsidP="00420C71">
      <w:pPr>
        <w:pStyle w:val="ListParagraph"/>
        <w:numPr>
          <w:ilvl w:val="0"/>
          <w:numId w:val="18"/>
        </w:numPr>
        <w:rPr>
          <w:lang w:val="en-US"/>
        </w:rPr>
      </w:pPr>
      <w:r w:rsidRPr="005E19C3">
        <w:rPr>
          <w:lang w:val="en-US"/>
        </w:rPr>
        <w:t>Language interpretation Arabic-English; English-French; English-Russian; Portuguese-Spanish.</w:t>
      </w:r>
    </w:p>
    <w:p w14:paraId="6679ECB7" w14:textId="63D83125" w:rsidR="006810DC" w:rsidRPr="005E19C3" w:rsidRDefault="0040596E" w:rsidP="00420C71">
      <w:pPr>
        <w:rPr>
          <w:lang w:val="en-US"/>
        </w:rPr>
      </w:pPr>
      <w:r w:rsidRPr="005E19C3">
        <w:rPr>
          <w:lang w:val="en-US"/>
        </w:rPr>
        <w:t>8</w:t>
      </w:r>
      <w:r w:rsidR="006810DC" w:rsidRPr="005E19C3">
        <w:rPr>
          <w:lang w:val="en-US"/>
        </w:rPr>
        <w:t xml:space="preserve">. </w:t>
      </w:r>
      <w:r w:rsidR="006810DC" w:rsidRPr="005E19C3">
        <w:rPr>
          <w:u w:val="single"/>
          <w:lang w:val="en-US"/>
        </w:rPr>
        <w:t>Alternative ways of providing information to the Committee</w:t>
      </w:r>
      <w:r w:rsidR="006810DC" w:rsidRPr="005E19C3">
        <w:rPr>
          <w:lang w:val="en-US"/>
        </w:rPr>
        <w:t>:</w:t>
      </w:r>
    </w:p>
    <w:p w14:paraId="395AB837" w14:textId="33475635" w:rsidR="00934C03" w:rsidRPr="005E19C3" w:rsidRDefault="00934C03" w:rsidP="00706803">
      <w:pPr>
        <w:rPr>
          <w:rStyle w:val="Hyperlink"/>
          <w:color w:val="auto"/>
          <w:u w:val="none"/>
          <w:lang w:val="en-US"/>
        </w:rPr>
      </w:pPr>
      <w:r w:rsidRPr="005E19C3">
        <w:rPr>
          <w:lang w:val="en-US"/>
        </w:rPr>
        <w:t xml:space="preserve">In case an organization cannot participate online, it can send information in the following way: </w:t>
      </w:r>
    </w:p>
    <w:p w14:paraId="05E834DA" w14:textId="05ED271C" w:rsidR="00706803" w:rsidRPr="005E19C3" w:rsidRDefault="00934C03" w:rsidP="00706803">
      <w:pPr>
        <w:rPr>
          <w:lang w:val="en-US"/>
        </w:rPr>
      </w:pPr>
      <w:r w:rsidRPr="005E19C3">
        <w:rPr>
          <w:rStyle w:val="Hyperlink"/>
          <w:color w:val="auto"/>
          <w:u w:val="none"/>
          <w:lang w:val="en-US"/>
        </w:rPr>
        <w:t>U</w:t>
      </w:r>
      <w:r w:rsidR="00467267" w:rsidRPr="005E19C3">
        <w:rPr>
          <w:lang w:val="en-US"/>
        </w:rPr>
        <w:t>sing WeTransfer</w:t>
      </w:r>
      <w:r w:rsidRPr="005E19C3">
        <w:rPr>
          <w:lang w:val="en-US"/>
        </w:rPr>
        <w:t xml:space="preserve">, send to </w:t>
      </w:r>
      <w:hyperlink r:id="rId17" w:history="1">
        <w:r w:rsidRPr="005E19C3">
          <w:rPr>
            <w:rStyle w:val="Hyperlink"/>
            <w:lang w:val="en-US"/>
          </w:rPr>
          <w:t>crpd@ohchr.org</w:t>
        </w:r>
      </w:hyperlink>
      <w:r w:rsidRPr="005E19C3">
        <w:rPr>
          <w:lang w:val="en-US"/>
        </w:rPr>
        <w:t xml:space="preserve"> the following:</w:t>
      </w:r>
    </w:p>
    <w:p w14:paraId="3EE83153" w14:textId="4A46368C" w:rsidR="006810DC" w:rsidRPr="005E19C3" w:rsidRDefault="00934C03" w:rsidP="006D14AF">
      <w:pPr>
        <w:pStyle w:val="ListParagraph"/>
        <w:spacing w:line="360" w:lineRule="auto"/>
        <w:rPr>
          <w:lang w:val="en-US"/>
        </w:rPr>
      </w:pPr>
      <w:r w:rsidRPr="005E19C3">
        <w:rPr>
          <w:lang w:val="en-US"/>
        </w:rPr>
        <w:t xml:space="preserve">(a) </w:t>
      </w:r>
      <w:r w:rsidR="0040596E" w:rsidRPr="005E19C3">
        <w:rPr>
          <w:lang w:val="en-US"/>
        </w:rPr>
        <w:tab/>
      </w:r>
      <w:r w:rsidR="006810DC" w:rsidRPr="005E19C3">
        <w:rPr>
          <w:lang w:val="en-US"/>
        </w:rPr>
        <w:t>A written statement</w:t>
      </w:r>
      <w:r w:rsidR="00E21EB8" w:rsidRPr="005E19C3">
        <w:rPr>
          <w:lang w:val="en-US"/>
        </w:rPr>
        <w:t>. The maximum length of the statement is 520 words (double-spaced, 12 font)</w:t>
      </w:r>
      <w:r w:rsidR="00467267" w:rsidRPr="005E19C3">
        <w:rPr>
          <w:lang w:val="en-US"/>
        </w:rPr>
        <w:t>;</w:t>
      </w:r>
      <w:r w:rsidRPr="005E19C3">
        <w:rPr>
          <w:lang w:val="en-US"/>
        </w:rPr>
        <w:t xml:space="preserve"> or</w:t>
      </w:r>
    </w:p>
    <w:p w14:paraId="4F925881" w14:textId="2C7A3D99" w:rsidR="006810DC" w:rsidRPr="005E19C3" w:rsidRDefault="00934C03" w:rsidP="006D14AF">
      <w:pPr>
        <w:pStyle w:val="ListParagraph"/>
        <w:rPr>
          <w:lang w:val="en-US"/>
        </w:rPr>
      </w:pPr>
      <w:r w:rsidRPr="005E19C3">
        <w:rPr>
          <w:lang w:val="en-US"/>
        </w:rPr>
        <w:t>(b)</w:t>
      </w:r>
      <w:r w:rsidRPr="005E19C3">
        <w:rPr>
          <w:lang w:val="en-US"/>
        </w:rPr>
        <w:tab/>
        <w:t xml:space="preserve"> </w:t>
      </w:r>
      <w:r w:rsidR="006810DC" w:rsidRPr="005E19C3">
        <w:rPr>
          <w:lang w:val="en-US"/>
        </w:rPr>
        <w:t>A video message</w:t>
      </w:r>
      <w:r w:rsidR="00320801" w:rsidRPr="005E19C3">
        <w:rPr>
          <w:lang w:val="en-US"/>
        </w:rPr>
        <w:t>. Up to 4</w:t>
      </w:r>
      <w:r w:rsidR="00467267" w:rsidRPr="005E19C3">
        <w:rPr>
          <w:lang w:val="en-US"/>
        </w:rPr>
        <w:t xml:space="preserve"> minutes in length;</w:t>
      </w:r>
      <w:r w:rsidRPr="005E19C3">
        <w:rPr>
          <w:lang w:val="en-US"/>
        </w:rPr>
        <w:t xml:space="preserve"> or</w:t>
      </w:r>
    </w:p>
    <w:p w14:paraId="3B6387B7" w14:textId="77777777" w:rsidR="00467267" w:rsidRPr="005E19C3" w:rsidRDefault="00467267" w:rsidP="007623E8">
      <w:pPr>
        <w:pStyle w:val="ListParagraph"/>
        <w:rPr>
          <w:lang w:val="en-US"/>
        </w:rPr>
      </w:pPr>
    </w:p>
    <w:p w14:paraId="3B7546A8" w14:textId="72037FCB" w:rsidR="006810DC" w:rsidRPr="005E19C3" w:rsidRDefault="00934C03" w:rsidP="006D14AF">
      <w:pPr>
        <w:pStyle w:val="ListParagraph"/>
        <w:rPr>
          <w:lang w:val="en-US"/>
        </w:rPr>
      </w:pPr>
      <w:r w:rsidRPr="005E19C3">
        <w:rPr>
          <w:lang w:val="en-US"/>
        </w:rPr>
        <w:t>(c)</w:t>
      </w:r>
      <w:r w:rsidRPr="005E19C3">
        <w:rPr>
          <w:lang w:val="en-US"/>
        </w:rPr>
        <w:tab/>
      </w:r>
      <w:r w:rsidR="0000189C" w:rsidRPr="005E19C3">
        <w:rPr>
          <w:lang w:val="en-US"/>
        </w:rPr>
        <w:t>A voice recording</w:t>
      </w:r>
      <w:r w:rsidR="00320801" w:rsidRPr="005E19C3">
        <w:rPr>
          <w:lang w:val="en-US"/>
        </w:rPr>
        <w:t>. Up to 4</w:t>
      </w:r>
      <w:r w:rsidR="00E21EB8" w:rsidRPr="005E19C3">
        <w:rPr>
          <w:lang w:val="en-US"/>
        </w:rPr>
        <w:t xml:space="preserve"> minutes</w:t>
      </w:r>
      <w:r w:rsidR="00467267" w:rsidRPr="005E19C3">
        <w:rPr>
          <w:color w:val="FF0000"/>
          <w:lang w:val="en-US"/>
        </w:rPr>
        <w:t xml:space="preserve"> </w:t>
      </w:r>
      <w:r w:rsidR="00467267" w:rsidRPr="005E19C3">
        <w:rPr>
          <w:lang w:val="en-US"/>
        </w:rPr>
        <w:t>in</w:t>
      </w:r>
      <w:r w:rsidR="00E21EB8" w:rsidRPr="005E19C3">
        <w:rPr>
          <w:lang w:val="en-US"/>
        </w:rPr>
        <w:t xml:space="preserve"> length</w:t>
      </w:r>
      <w:r w:rsidR="00845DD2" w:rsidRPr="005E19C3">
        <w:rPr>
          <w:lang w:val="en-US"/>
        </w:rPr>
        <w:t>.</w:t>
      </w:r>
    </w:p>
    <w:p w14:paraId="4522114C" w14:textId="0308DA3F" w:rsidR="0000189C" w:rsidRPr="005E19C3" w:rsidRDefault="00406389" w:rsidP="00845DD2">
      <w:pPr>
        <w:rPr>
          <w:u w:val="single"/>
          <w:lang w:val="en-US"/>
        </w:rPr>
      </w:pPr>
      <w:r w:rsidRPr="005E19C3">
        <w:rPr>
          <w:lang w:val="en-US"/>
        </w:rPr>
        <w:t>We suggest that c</w:t>
      </w:r>
      <w:r w:rsidR="00E21EB8" w:rsidRPr="005E19C3">
        <w:rPr>
          <w:lang w:val="en-US"/>
        </w:rPr>
        <w:t>ontributions</w:t>
      </w:r>
      <w:r w:rsidR="0000189C" w:rsidRPr="005E19C3">
        <w:rPr>
          <w:b/>
          <w:lang w:val="en-US"/>
        </w:rPr>
        <w:t xml:space="preserve"> address one or more of the topics </w:t>
      </w:r>
      <w:r w:rsidRPr="005E19C3">
        <w:rPr>
          <w:b/>
          <w:lang w:val="en-US"/>
        </w:rPr>
        <w:t>mentioned above (Question 5</w:t>
      </w:r>
      <w:r w:rsidR="0073597B" w:rsidRPr="005E19C3">
        <w:rPr>
          <w:b/>
          <w:lang w:val="en-US"/>
        </w:rPr>
        <w:t>.6</w:t>
      </w:r>
      <w:r w:rsidRPr="005E19C3">
        <w:rPr>
          <w:b/>
          <w:lang w:val="en-US"/>
        </w:rPr>
        <w:t xml:space="preserve">). </w:t>
      </w:r>
    </w:p>
    <w:p w14:paraId="1C863BCB" w14:textId="26274B81" w:rsidR="0000189C" w:rsidRPr="005E19C3" w:rsidRDefault="0000189C" w:rsidP="0000189C">
      <w:pPr>
        <w:rPr>
          <w:lang w:val="en-US"/>
        </w:rPr>
      </w:pPr>
    </w:p>
    <w:p w14:paraId="598153B0" w14:textId="1A1E5ECE" w:rsidR="005D67C5" w:rsidRPr="005E19C3" w:rsidRDefault="0040596E" w:rsidP="006C4EF3">
      <w:r w:rsidRPr="005E19C3">
        <w:rPr>
          <w:lang w:val="en-US"/>
        </w:rPr>
        <w:t>9</w:t>
      </w:r>
      <w:r w:rsidR="0076795F" w:rsidRPr="005E19C3">
        <w:rPr>
          <w:lang w:val="en-US"/>
        </w:rPr>
        <w:t xml:space="preserve">. </w:t>
      </w:r>
      <w:r w:rsidR="005D67C5" w:rsidRPr="005E19C3">
        <w:rPr>
          <w:u w:val="single"/>
          <w:lang w:val="en-US"/>
        </w:rPr>
        <w:t xml:space="preserve">Confidentiality and safety of individuals and organizations </w:t>
      </w:r>
      <w:r w:rsidR="005D67C5" w:rsidRPr="005E19C3">
        <w:rPr>
          <w:u w:val="single"/>
        </w:rPr>
        <w:t xml:space="preserve">participating in the consultation </w:t>
      </w:r>
    </w:p>
    <w:p w14:paraId="55292C05" w14:textId="6AE6E9F6" w:rsidR="005D67C5" w:rsidRPr="005E19C3" w:rsidRDefault="00406389" w:rsidP="006C4EF3">
      <w:pPr>
        <w:rPr>
          <w:lang w:val="en-US"/>
        </w:rPr>
      </w:pPr>
      <w:r w:rsidRPr="005E19C3">
        <w:t>Consultations are closed to participants that g</w:t>
      </w:r>
      <w:r w:rsidR="0073597B" w:rsidRPr="005E19C3">
        <w:t>et</w:t>
      </w:r>
      <w:r w:rsidRPr="005E19C3">
        <w:t xml:space="preserve"> accredit</w:t>
      </w:r>
      <w:r w:rsidR="0073597B" w:rsidRPr="005E19C3">
        <w:t>ation</w:t>
      </w:r>
      <w:r w:rsidRPr="005E19C3">
        <w:t xml:space="preserve">. Contributions are kept confidential. </w:t>
      </w:r>
    </w:p>
    <w:p w14:paraId="76F28513" w14:textId="53B9D92C" w:rsidR="009F630A" w:rsidRPr="005E19C3" w:rsidRDefault="009F630A" w:rsidP="00420C71"/>
    <w:p w14:paraId="01CC7D32" w14:textId="39F81B0E" w:rsidR="00397151" w:rsidRPr="005E19C3" w:rsidRDefault="00397151" w:rsidP="0073597B">
      <w:pPr>
        <w:jc w:val="center"/>
        <w:rPr>
          <w:i/>
        </w:rPr>
      </w:pPr>
      <w:r w:rsidRPr="005E19C3">
        <w:rPr>
          <w:i/>
        </w:rPr>
        <w:t xml:space="preserve">* This informative note has been prepared by the Committee’s Working Group on Deinstitutionalization. The </w:t>
      </w:r>
      <w:hyperlink r:id="rId18" w:history="1">
        <w:r w:rsidRPr="005E19C3">
          <w:rPr>
            <w:rStyle w:val="Hyperlink"/>
            <w:i/>
          </w:rPr>
          <w:t>International Disability Alliance</w:t>
        </w:r>
      </w:hyperlink>
      <w:r w:rsidRPr="005E19C3">
        <w:rPr>
          <w:i/>
        </w:rPr>
        <w:t>, the European Network for Independent Living, Inclusion International, Validity Foundation and other civil society organizations also contributed.</w:t>
      </w:r>
    </w:p>
    <w:p w14:paraId="3404411C" w14:textId="7B682739" w:rsidR="00397151" w:rsidRPr="005E19C3" w:rsidRDefault="00AA7AD0" w:rsidP="00420C71">
      <w:r w:rsidRPr="005E19C3">
        <w:br w:type="page"/>
      </w:r>
    </w:p>
    <w:p w14:paraId="6A2F605C" w14:textId="4C060B11" w:rsidR="00103A47" w:rsidRPr="005E19C3" w:rsidRDefault="00103A47" w:rsidP="006C4EF3">
      <w:pPr>
        <w:pStyle w:val="Heading2"/>
        <w:jc w:val="center"/>
        <w:rPr>
          <w:rFonts w:ascii="Times New Roman" w:eastAsia="Times New Roman" w:hAnsi="Times New Roman" w:cs="Times New Roman"/>
          <w:b/>
          <w:sz w:val="24"/>
          <w:szCs w:val="24"/>
          <w:lang w:val="en-US"/>
        </w:rPr>
      </w:pPr>
      <w:bookmarkStart w:id="1" w:name="_ANNEX_1_Topics_1"/>
      <w:bookmarkStart w:id="2" w:name="_ANNEX_2"/>
      <w:bookmarkStart w:id="3" w:name="_ANNEX_1_List"/>
      <w:bookmarkEnd w:id="1"/>
      <w:bookmarkEnd w:id="2"/>
      <w:bookmarkEnd w:id="3"/>
      <w:r w:rsidRPr="005E19C3">
        <w:rPr>
          <w:rFonts w:ascii="Times New Roman" w:eastAsia="Times New Roman" w:hAnsi="Times New Roman" w:cs="Times New Roman"/>
          <w:b/>
          <w:sz w:val="24"/>
          <w:szCs w:val="24"/>
          <w:lang w:val="en-US"/>
        </w:rPr>
        <w:t xml:space="preserve">ANNEX </w:t>
      </w:r>
      <w:r w:rsidR="00B17B80" w:rsidRPr="005E19C3">
        <w:rPr>
          <w:rFonts w:ascii="Times New Roman" w:eastAsia="Times New Roman" w:hAnsi="Times New Roman" w:cs="Times New Roman"/>
          <w:b/>
          <w:sz w:val="24"/>
          <w:szCs w:val="24"/>
          <w:lang w:val="en-US"/>
        </w:rPr>
        <w:t>1</w:t>
      </w:r>
      <w:r w:rsidRPr="005E19C3">
        <w:rPr>
          <w:rFonts w:ascii="Times New Roman" w:eastAsia="Times New Roman" w:hAnsi="Times New Roman" w:cs="Times New Roman"/>
          <w:b/>
          <w:sz w:val="24"/>
          <w:szCs w:val="24"/>
          <w:lang w:val="en-US"/>
        </w:rPr>
        <w:t xml:space="preserve"> </w:t>
      </w:r>
      <w:r w:rsidR="000B69B3" w:rsidRPr="005E19C3">
        <w:rPr>
          <w:rFonts w:ascii="Times New Roman" w:eastAsia="Times New Roman" w:hAnsi="Times New Roman" w:cs="Times New Roman"/>
          <w:b/>
          <w:i/>
          <w:sz w:val="24"/>
          <w:szCs w:val="24"/>
          <w:lang w:val="en-US"/>
        </w:rPr>
        <w:t>List of countries per region</w:t>
      </w:r>
    </w:p>
    <w:p w14:paraId="3BC8DBEB" w14:textId="77777777" w:rsidR="00103A47" w:rsidRPr="005E19C3" w:rsidRDefault="00103A47" w:rsidP="00103A47">
      <w:pPr>
        <w:spacing w:after="0" w:line="240" w:lineRule="auto"/>
        <w:rPr>
          <w:rFonts w:ascii="Times New Roman" w:eastAsia="Times New Roman" w:hAnsi="Times New Roman" w:cs="Times New Roman"/>
          <w:b/>
          <w:bCs/>
          <w:color w:val="2E74B5" w:themeColor="accent1" w:themeShade="BF"/>
          <w:sz w:val="24"/>
          <w:szCs w:val="24"/>
          <w:lang w:val="en-US"/>
        </w:rPr>
      </w:pPr>
    </w:p>
    <w:p w14:paraId="23A996C5" w14:textId="42DDFB1D" w:rsidR="00103A47" w:rsidRPr="005E19C3" w:rsidRDefault="00103A47" w:rsidP="00103A47">
      <w:pPr>
        <w:spacing w:after="0" w:line="240" w:lineRule="auto"/>
        <w:rPr>
          <w:rFonts w:ascii="Times New Roman" w:eastAsia="Times New Roman" w:hAnsi="Times New Roman" w:cs="Times New Roman"/>
          <w:sz w:val="24"/>
          <w:szCs w:val="24"/>
          <w:lang w:val="en-US"/>
        </w:rPr>
      </w:pPr>
      <w:r w:rsidRPr="005E19C3">
        <w:rPr>
          <w:rFonts w:eastAsia="Times New Roman" w:cstheme="minorHAnsi"/>
          <w:b/>
          <w:bCs/>
          <w:color w:val="000000"/>
          <w:u w:val="single"/>
          <w:bdr w:val="none" w:sz="0" w:space="0" w:color="auto" w:frame="1"/>
          <w:lang w:val="en-US"/>
        </w:rPr>
        <w:t>Africa:</w:t>
      </w:r>
      <w:r w:rsidRPr="005E19C3">
        <w:rPr>
          <w:rFonts w:eastAsia="Times New Roman" w:cstheme="minorHAnsi"/>
          <w:lang w:val="en-US"/>
        </w:rPr>
        <w:t xml:space="preserve"> </w:t>
      </w:r>
    </w:p>
    <w:p w14:paraId="3C09D996" w14:textId="77777777" w:rsidR="00103A47" w:rsidRPr="005E19C3" w:rsidRDefault="00103A47" w:rsidP="00103A47">
      <w:pPr>
        <w:spacing w:after="0" w:line="240" w:lineRule="auto"/>
        <w:rPr>
          <w:rFonts w:ascii="Times New Roman" w:eastAsia="Times New Roman" w:hAnsi="Times New Roman" w:cs="Times New Roman"/>
          <w:sz w:val="24"/>
          <w:szCs w:val="24"/>
          <w:lang w:val="en-US"/>
        </w:rPr>
      </w:pPr>
    </w:p>
    <w:p w14:paraId="60ED170C" w14:textId="77777777" w:rsidR="00103A47" w:rsidRPr="005E19C3" w:rsidRDefault="00103A47" w:rsidP="00103A47">
      <w:pPr>
        <w:shd w:val="clear" w:color="auto" w:fill="FFFFFF"/>
        <w:spacing w:after="0" w:line="240" w:lineRule="auto"/>
        <w:jc w:val="both"/>
        <w:rPr>
          <w:rFonts w:eastAsia="Times New Roman" w:cstheme="minorHAnsi"/>
          <w:color w:val="000000"/>
          <w:lang w:val="it-CH"/>
        </w:rPr>
      </w:pPr>
      <w:r w:rsidRPr="005E19C3">
        <w:rPr>
          <w:rFonts w:eastAsia="Times New Roman" w:cstheme="minorHAnsi"/>
          <w:color w:val="000000"/>
          <w:bdr w:val="none" w:sz="0" w:space="0" w:color="auto" w:frame="1"/>
          <w:lang w:val="en-US"/>
        </w:rPr>
        <w:t xml:space="preserve">Central Africa: Chad, Congo, Equatorial Guinea, Gabon, the Central African Republic, the Democratic Republic of Congo, Rwanda, and Sao Tomé and Principe. East Africa: </w:t>
      </w:r>
      <w:r w:rsidRPr="005E19C3">
        <w:rPr>
          <w:rFonts w:eastAsia="Times New Roman" w:cstheme="minorHAnsi"/>
          <w:lang w:val="en-US"/>
        </w:rPr>
        <w:t xml:space="preserve">Burundi, </w:t>
      </w:r>
      <w:r w:rsidRPr="005E19C3">
        <w:rPr>
          <w:rFonts w:eastAsia="Times New Roman" w:cstheme="minorHAnsi"/>
          <w:color w:val="000000"/>
          <w:bdr w:val="none" w:sz="0" w:space="0" w:color="auto" w:frame="1"/>
          <w:lang w:val="en-US"/>
        </w:rPr>
        <w:t>Djibouti, Eritrea, Ethiopia, Kenya, Somalia, South Sudan, Sudan, Tanzania, and Uganda. South Africa: Angola, Botswana, Comoros, Lesotho, Madagascar, Malawi, Mauritius, Mozambique, Namibia, Seychelles, South Africa, Eswatini (former Swaziland), Zambia, and Zimbabwe. </w:t>
      </w:r>
      <w:r w:rsidRPr="005E19C3">
        <w:rPr>
          <w:rFonts w:eastAsia="Times New Roman" w:cstheme="minorHAnsi"/>
          <w:color w:val="000000"/>
          <w:bdr w:val="none" w:sz="0" w:space="0" w:color="auto" w:frame="1"/>
          <w:lang w:val="it-CH"/>
        </w:rPr>
        <w:t xml:space="preserve">West Africa: Benin, Burkina Faso, Cape Verde, </w:t>
      </w:r>
      <w:r w:rsidRPr="005E19C3">
        <w:rPr>
          <w:rFonts w:eastAsia="Times New Roman" w:cstheme="minorHAnsi"/>
          <w:lang w:val="it-CH"/>
        </w:rPr>
        <w:t xml:space="preserve">Ivory Coast, </w:t>
      </w:r>
      <w:r w:rsidRPr="005E19C3">
        <w:rPr>
          <w:rFonts w:eastAsia="Times New Roman" w:cstheme="minorHAnsi"/>
          <w:color w:val="000000"/>
          <w:bdr w:val="none" w:sz="0" w:space="0" w:color="auto" w:frame="1"/>
          <w:lang w:val="it-CH"/>
        </w:rPr>
        <w:t>Ghana, Guinea, Guinea-Bissau, Liberia, Mali, Mauritania, Niger, Nigeria, Senegal, Sierra Leone, The Gambia, Togo. </w:t>
      </w:r>
      <w:r w:rsidRPr="005E19C3">
        <w:rPr>
          <w:rFonts w:eastAsia="Times New Roman" w:cstheme="minorHAnsi"/>
          <w:lang w:val="it-CH"/>
        </w:rPr>
        <w:t xml:space="preserve"> </w:t>
      </w:r>
    </w:p>
    <w:p w14:paraId="029A131C" w14:textId="77777777" w:rsidR="00103A47" w:rsidRPr="005E19C3" w:rsidRDefault="00103A47" w:rsidP="00103A47">
      <w:pPr>
        <w:shd w:val="clear" w:color="auto" w:fill="FFFFFF"/>
        <w:spacing w:after="0" w:line="240" w:lineRule="auto"/>
        <w:jc w:val="both"/>
        <w:rPr>
          <w:rFonts w:eastAsia="Times New Roman" w:cstheme="minorHAnsi"/>
          <w:color w:val="000000"/>
          <w:lang w:val="it-CH"/>
        </w:rPr>
      </w:pPr>
    </w:p>
    <w:p w14:paraId="6BDBD44A" w14:textId="5B5D704F" w:rsidR="00103A47" w:rsidRPr="005E19C3" w:rsidRDefault="00103A47" w:rsidP="00103A47">
      <w:pPr>
        <w:spacing w:after="0" w:line="240" w:lineRule="auto"/>
        <w:rPr>
          <w:rFonts w:ascii="Times New Roman" w:eastAsia="Times New Roman" w:hAnsi="Times New Roman" w:cs="Times New Roman"/>
          <w:sz w:val="24"/>
          <w:szCs w:val="24"/>
          <w:lang w:val="it-CH"/>
        </w:rPr>
      </w:pPr>
      <w:r w:rsidRPr="005E19C3">
        <w:rPr>
          <w:rFonts w:eastAsia="Times New Roman" w:cstheme="minorHAnsi"/>
          <w:b/>
          <w:bCs/>
          <w:color w:val="000000"/>
          <w:u w:val="single"/>
          <w:bdr w:val="none" w:sz="0" w:space="0" w:color="auto" w:frame="1"/>
          <w:lang w:val="it-CH"/>
        </w:rPr>
        <w:t>Americas:</w:t>
      </w:r>
      <w:r w:rsidRPr="005E19C3">
        <w:rPr>
          <w:rFonts w:eastAsia="Times New Roman" w:cstheme="minorHAnsi"/>
          <w:color w:val="000000"/>
          <w:bdr w:val="none" w:sz="0" w:space="0" w:color="auto" w:frame="1"/>
          <w:lang w:val="it-CH"/>
        </w:rPr>
        <w:t xml:space="preserve"> </w:t>
      </w:r>
    </w:p>
    <w:p w14:paraId="6B6C00C9" w14:textId="77777777" w:rsidR="00103A47" w:rsidRPr="005E19C3" w:rsidRDefault="00103A47" w:rsidP="00103A47">
      <w:pPr>
        <w:spacing w:after="0" w:line="240" w:lineRule="auto"/>
        <w:rPr>
          <w:rFonts w:ascii="Times New Roman" w:eastAsia="Times New Roman" w:hAnsi="Times New Roman" w:cs="Times New Roman"/>
          <w:sz w:val="24"/>
          <w:szCs w:val="24"/>
          <w:lang w:val="it-CH"/>
        </w:rPr>
      </w:pPr>
      <w:r w:rsidRPr="005E19C3">
        <w:rPr>
          <w:rFonts w:ascii="Times New Roman" w:eastAsia="Times New Roman" w:hAnsi="Times New Roman" w:cs="Times New Roman"/>
          <w:sz w:val="24"/>
          <w:szCs w:val="24"/>
          <w:lang w:val="it-CH"/>
        </w:rPr>
        <w:t xml:space="preserve"> </w:t>
      </w:r>
    </w:p>
    <w:p w14:paraId="29671123" w14:textId="4F0AB1E0" w:rsidR="00103A47" w:rsidRPr="005E19C3" w:rsidRDefault="00845DD2" w:rsidP="00103A47">
      <w:pPr>
        <w:shd w:val="clear" w:color="auto" w:fill="FFFFFF"/>
        <w:spacing w:after="0" w:line="240" w:lineRule="auto"/>
        <w:jc w:val="both"/>
        <w:rPr>
          <w:rFonts w:eastAsia="Times New Roman" w:cstheme="minorHAnsi"/>
          <w:color w:val="000000"/>
          <w:bdr w:val="none" w:sz="0" w:space="0" w:color="auto" w:frame="1"/>
          <w:lang w:val="it-CH"/>
        </w:rPr>
      </w:pPr>
      <w:r w:rsidRPr="005E19C3">
        <w:rPr>
          <w:rFonts w:eastAsia="Times New Roman" w:cstheme="minorHAnsi"/>
          <w:b/>
          <w:color w:val="000000"/>
          <w:u w:val="single"/>
          <w:bdr w:val="none" w:sz="0" w:space="0" w:color="auto" w:frame="1"/>
          <w:lang w:val="it-CH"/>
        </w:rPr>
        <w:t xml:space="preserve">North America and the </w:t>
      </w:r>
      <w:r w:rsidR="00103A47" w:rsidRPr="005E19C3">
        <w:rPr>
          <w:rFonts w:eastAsia="Times New Roman" w:cstheme="minorHAnsi"/>
          <w:b/>
          <w:color w:val="000000"/>
          <w:u w:val="single"/>
          <w:bdr w:val="none" w:sz="0" w:space="0" w:color="auto" w:frame="1"/>
          <w:lang w:val="it-CH"/>
        </w:rPr>
        <w:t>Caribbean</w:t>
      </w:r>
      <w:r w:rsidR="00103A47" w:rsidRPr="005E19C3">
        <w:rPr>
          <w:rFonts w:eastAsia="Times New Roman" w:cstheme="minorHAnsi"/>
          <w:color w:val="000000"/>
          <w:bdr w:val="none" w:sz="0" w:space="0" w:color="auto" w:frame="1"/>
          <w:lang w:val="it-CH"/>
        </w:rPr>
        <w:t xml:space="preserve">: Antigua and Barbuda, Bahamas, Barbados, </w:t>
      </w:r>
      <w:r w:rsidR="004E6D37" w:rsidRPr="005E19C3">
        <w:rPr>
          <w:rFonts w:eastAsia="Times New Roman" w:cstheme="minorHAnsi"/>
          <w:color w:val="000000"/>
          <w:bdr w:val="none" w:sz="0" w:space="0" w:color="auto" w:frame="1"/>
        </w:rPr>
        <w:t xml:space="preserve">Belize, Canada, </w:t>
      </w:r>
      <w:r w:rsidR="00103A47" w:rsidRPr="005E19C3">
        <w:rPr>
          <w:rFonts w:eastAsia="Times New Roman" w:cstheme="minorHAnsi"/>
          <w:color w:val="000000"/>
          <w:bdr w:val="none" w:sz="0" w:space="0" w:color="auto" w:frame="1"/>
          <w:lang w:val="it-CH"/>
        </w:rPr>
        <w:t xml:space="preserve">Dominica, Dominican Republic, </w:t>
      </w:r>
      <w:r w:rsidR="00871418" w:rsidRPr="005E19C3">
        <w:rPr>
          <w:rFonts w:eastAsia="Times New Roman" w:cstheme="minorHAnsi"/>
          <w:color w:val="000000"/>
          <w:bdr w:val="none" w:sz="0" w:space="0" w:color="auto" w:frame="1"/>
          <w:lang w:val="it-CH"/>
        </w:rPr>
        <w:t xml:space="preserve">Guyana, </w:t>
      </w:r>
      <w:r w:rsidR="00103A47" w:rsidRPr="005E19C3">
        <w:rPr>
          <w:rFonts w:eastAsia="Times New Roman" w:cstheme="minorHAnsi"/>
          <w:color w:val="000000"/>
          <w:bdr w:val="none" w:sz="0" w:space="0" w:color="auto" w:frame="1"/>
          <w:lang w:val="it-CH"/>
        </w:rPr>
        <w:t>Grenada, Haiti, Jamaica,</w:t>
      </w:r>
      <w:r w:rsidR="004E6D37" w:rsidRPr="005E19C3">
        <w:rPr>
          <w:rFonts w:eastAsia="Times New Roman" w:cstheme="minorHAnsi"/>
          <w:color w:val="000000"/>
          <w:bdr w:val="none" w:sz="0" w:space="0" w:color="auto" w:frame="1"/>
          <w:lang w:val="it-CH"/>
        </w:rPr>
        <w:t xml:space="preserve"> United States of America,</w:t>
      </w:r>
      <w:r w:rsidR="00103A47" w:rsidRPr="005E19C3">
        <w:rPr>
          <w:rFonts w:eastAsia="Times New Roman" w:cstheme="minorHAnsi"/>
          <w:color w:val="000000"/>
          <w:bdr w:val="none" w:sz="0" w:space="0" w:color="auto" w:frame="1"/>
          <w:lang w:val="it-CH"/>
        </w:rPr>
        <w:t xml:space="preserve"> Saint Kitts and Nevis, Saint Lucia, Saint Vincent and the Grenadines, </w:t>
      </w:r>
      <w:r w:rsidR="00871418" w:rsidRPr="005E19C3">
        <w:rPr>
          <w:rFonts w:eastAsia="Times New Roman" w:cstheme="minorHAnsi"/>
          <w:color w:val="000000"/>
          <w:bdr w:val="none" w:sz="0" w:space="0" w:color="auto" w:frame="1"/>
          <w:lang w:val="it-CH"/>
        </w:rPr>
        <w:t xml:space="preserve">Surinam </w:t>
      </w:r>
      <w:r w:rsidR="00103A47" w:rsidRPr="005E19C3">
        <w:rPr>
          <w:rFonts w:eastAsia="Times New Roman" w:cstheme="minorHAnsi"/>
          <w:color w:val="000000"/>
          <w:bdr w:val="none" w:sz="0" w:space="0" w:color="auto" w:frame="1"/>
          <w:lang w:val="it-CH"/>
        </w:rPr>
        <w:t>and Trinidad and Tobago. </w:t>
      </w:r>
    </w:p>
    <w:p w14:paraId="54E27C9A" w14:textId="77777777" w:rsidR="004E6D37" w:rsidRPr="005E19C3" w:rsidRDefault="004E6D37" w:rsidP="00103A47">
      <w:pPr>
        <w:shd w:val="clear" w:color="auto" w:fill="FFFFFF"/>
        <w:spacing w:after="0" w:line="240" w:lineRule="auto"/>
        <w:jc w:val="both"/>
        <w:rPr>
          <w:rFonts w:eastAsia="Times New Roman" w:cstheme="minorHAnsi"/>
          <w:color w:val="000000"/>
          <w:bdr w:val="none" w:sz="0" w:space="0" w:color="auto" w:frame="1"/>
          <w:lang w:val="it-CH"/>
        </w:rPr>
      </w:pPr>
    </w:p>
    <w:p w14:paraId="720937C4" w14:textId="2264050B" w:rsidR="00103A47" w:rsidRPr="005E19C3" w:rsidRDefault="00103A47" w:rsidP="00103A47">
      <w:pPr>
        <w:shd w:val="clear" w:color="auto" w:fill="FFFFFF"/>
        <w:spacing w:after="0" w:line="240" w:lineRule="auto"/>
        <w:jc w:val="both"/>
        <w:rPr>
          <w:rFonts w:eastAsia="Times New Roman" w:cstheme="minorHAnsi"/>
          <w:color w:val="000000"/>
          <w:bdr w:val="none" w:sz="0" w:space="0" w:color="auto" w:frame="1"/>
          <w:lang w:val="es-ES"/>
        </w:rPr>
      </w:pPr>
      <w:r w:rsidRPr="005E19C3">
        <w:rPr>
          <w:rFonts w:eastAsia="Times New Roman" w:cstheme="minorHAnsi"/>
          <w:b/>
          <w:color w:val="000000"/>
          <w:u w:val="single"/>
          <w:bdr w:val="none" w:sz="0" w:space="0" w:color="auto" w:frame="1"/>
          <w:lang w:val="es-ES"/>
        </w:rPr>
        <w:t xml:space="preserve">Central and </w:t>
      </w:r>
      <w:r w:rsidR="004E6D37" w:rsidRPr="005E19C3">
        <w:rPr>
          <w:rFonts w:eastAsia="Times New Roman" w:cstheme="minorHAnsi"/>
          <w:b/>
          <w:color w:val="000000"/>
          <w:u w:val="single"/>
          <w:bdr w:val="none" w:sz="0" w:space="0" w:color="auto" w:frame="1"/>
          <w:lang w:val="es-ES"/>
        </w:rPr>
        <w:t xml:space="preserve">South </w:t>
      </w:r>
      <w:r w:rsidRPr="005E19C3">
        <w:rPr>
          <w:rFonts w:eastAsia="Times New Roman" w:cstheme="minorHAnsi"/>
          <w:b/>
          <w:color w:val="000000"/>
          <w:u w:val="single"/>
          <w:bdr w:val="none" w:sz="0" w:space="0" w:color="auto" w:frame="1"/>
          <w:lang w:val="es-ES"/>
        </w:rPr>
        <w:t>America</w:t>
      </w:r>
      <w:r w:rsidRPr="005E19C3">
        <w:rPr>
          <w:rFonts w:eastAsia="Times New Roman" w:cstheme="minorHAnsi"/>
          <w:color w:val="000000"/>
          <w:bdr w:val="none" w:sz="0" w:space="0" w:color="auto" w:frame="1"/>
          <w:lang w:val="es-ES"/>
        </w:rPr>
        <w:t xml:space="preserve">:, Costa Rica, Cuba, El Salvador, Guatemala, , Honduras, Mexico, Nicaragua, </w:t>
      </w:r>
      <w:r w:rsidR="00871418" w:rsidRPr="005E19C3">
        <w:rPr>
          <w:rFonts w:eastAsia="Times New Roman" w:cstheme="minorHAnsi"/>
          <w:color w:val="000000"/>
          <w:bdr w:val="none" w:sz="0" w:space="0" w:color="auto" w:frame="1"/>
          <w:lang w:val="es-ES"/>
        </w:rPr>
        <w:t xml:space="preserve">and </w:t>
      </w:r>
      <w:r w:rsidR="003129CA">
        <w:rPr>
          <w:rFonts w:eastAsia="Times New Roman" w:cstheme="minorHAnsi"/>
          <w:color w:val="000000"/>
          <w:bdr w:val="none" w:sz="0" w:space="0" w:color="auto" w:frame="1"/>
          <w:lang w:val="es-ES"/>
        </w:rPr>
        <w:t>Panama</w:t>
      </w:r>
      <w:r w:rsidRPr="005E19C3">
        <w:rPr>
          <w:rFonts w:eastAsia="Times New Roman" w:cstheme="minorHAnsi"/>
          <w:color w:val="000000"/>
          <w:bdr w:val="none" w:sz="0" w:space="0" w:color="auto" w:frame="1"/>
          <w:lang w:val="es-ES"/>
        </w:rPr>
        <w:t>. South America: Argentina, Plurinational State of Bolivia, Brazil, Chile, Colombia, Ecuador, Paraguay, Peru, Uruguay, and Bolivarian Republic of Venezuela. </w:t>
      </w:r>
    </w:p>
    <w:p w14:paraId="6A7AAC29" w14:textId="6E764689" w:rsidR="000B69B3" w:rsidRPr="005E19C3" w:rsidRDefault="00103A47" w:rsidP="00103A47">
      <w:pPr>
        <w:shd w:val="clear" w:color="auto" w:fill="FFFFFF"/>
        <w:spacing w:after="0" w:line="240" w:lineRule="auto"/>
        <w:jc w:val="both"/>
        <w:rPr>
          <w:rFonts w:eastAsia="Times New Roman" w:cstheme="minorHAnsi"/>
          <w:color w:val="000000"/>
          <w:bdr w:val="none" w:sz="0" w:space="0" w:color="auto" w:frame="1"/>
          <w:lang w:val="es-ES"/>
        </w:rPr>
      </w:pPr>
      <w:r w:rsidRPr="005E19C3">
        <w:rPr>
          <w:rFonts w:eastAsia="Times New Roman" w:cstheme="minorHAnsi"/>
          <w:color w:val="000000"/>
          <w:bdr w:val="none" w:sz="0" w:space="0" w:color="auto" w:frame="1"/>
          <w:lang w:val="es-ES"/>
        </w:rPr>
        <w:t> </w:t>
      </w:r>
    </w:p>
    <w:p w14:paraId="1FCBE3A3" w14:textId="68263EB2" w:rsidR="00103A47" w:rsidRPr="005E19C3" w:rsidRDefault="00103A47" w:rsidP="00103A47">
      <w:pPr>
        <w:spacing w:after="0" w:line="240" w:lineRule="auto"/>
        <w:jc w:val="both"/>
        <w:rPr>
          <w:rFonts w:ascii="Times New Roman" w:eastAsia="Times New Roman" w:hAnsi="Times New Roman" w:cs="Times New Roman"/>
          <w:sz w:val="24"/>
          <w:szCs w:val="24"/>
          <w:lang w:val="es-ES"/>
        </w:rPr>
      </w:pPr>
      <w:r w:rsidRPr="005E19C3">
        <w:rPr>
          <w:rFonts w:eastAsia="Times New Roman" w:cstheme="minorHAnsi"/>
          <w:b/>
          <w:bCs/>
          <w:color w:val="000000"/>
          <w:u w:val="single"/>
          <w:bdr w:val="none" w:sz="0" w:space="0" w:color="auto" w:frame="1"/>
          <w:lang w:val="es-ES"/>
        </w:rPr>
        <w:t>Asia-Pacific</w:t>
      </w:r>
      <w:r w:rsidRPr="005E19C3">
        <w:rPr>
          <w:rFonts w:eastAsia="Times New Roman" w:cstheme="minorHAnsi"/>
          <w:b/>
          <w:bCs/>
          <w:color w:val="000000"/>
          <w:bdr w:val="none" w:sz="0" w:space="0" w:color="auto" w:frame="1"/>
          <w:lang w:val="es-ES"/>
        </w:rPr>
        <w:t>: </w:t>
      </w:r>
    </w:p>
    <w:p w14:paraId="6BE8A1CE" w14:textId="77777777" w:rsidR="00103A47" w:rsidRPr="005E19C3" w:rsidRDefault="00103A47" w:rsidP="00103A47">
      <w:pPr>
        <w:spacing w:after="0" w:line="240" w:lineRule="auto"/>
        <w:rPr>
          <w:rFonts w:ascii="Times New Roman" w:eastAsia="Times New Roman" w:hAnsi="Times New Roman" w:cs="Times New Roman"/>
          <w:sz w:val="24"/>
          <w:szCs w:val="24"/>
          <w:lang w:val="es-ES"/>
        </w:rPr>
      </w:pPr>
    </w:p>
    <w:p w14:paraId="56944183" w14:textId="09D99BE5" w:rsidR="00103A47" w:rsidRPr="005E19C3" w:rsidRDefault="00103A47" w:rsidP="00103A47">
      <w:pPr>
        <w:shd w:val="clear" w:color="auto" w:fill="FFFFFF"/>
        <w:spacing w:after="0" w:line="240" w:lineRule="auto"/>
        <w:jc w:val="both"/>
        <w:rPr>
          <w:rFonts w:eastAsia="Times New Roman" w:cstheme="minorHAnsi"/>
          <w:color w:val="000000"/>
          <w:bdr w:val="none" w:sz="0" w:space="0" w:color="auto" w:frame="1"/>
          <w:lang w:val="en-US"/>
        </w:rPr>
      </w:pPr>
      <w:r w:rsidRPr="005E19C3">
        <w:rPr>
          <w:rFonts w:eastAsia="Times New Roman" w:cstheme="minorHAnsi"/>
          <w:color w:val="000000"/>
          <w:bdr w:val="none" w:sz="0" w:space="0" w:color="auto" w:frame="1"/>
          <w:lang w:val="en-US"/>
        </w:rPr>
        <w:t>Pacific: Australia, New Zealand and the Pacific Islands Countries (Cook Islands, Federated States of Micronesia, Fiji, Kiribati, Nauru, Niue, Palau, Papua New Guinea, the Republic of the Marshall Islands, Samoa, Solomon Islands, Tonga, Tuvalu, and Vanuatu). South East Asia: Brunei Darussalam, Cambodia, Indonesia, Laos, Malaysia, M</w:t>
      </w:r>
      <w:r w:rsidR="003129CA">
        <w:rPr>
          <w:rFonts w:eastAsia="Times New Roman" w:cstheme="minorHAnsi"/>
          <w:color w:val="000000"/>
          <w:bdr w:val="none" w:sz="0" w:space="0" w:color="auto" w:frame="1"/>
          <w:lang w:val="en-US"/>
        </w:rPr>
        <w:t xml:space="preserve">yanmar, Philippines, Singapore, </w:t>
      </w:r>
      <w:r w:rsidRPr="005E19C3">
        <w:rPr>
          <w:rFonts w:eastAsia="Times New Roman" w:cstheme="minorHAnsi"/>
          <w:color w:val="000000"/>
          <w:bdr w:val="none" w:sz="0" w:space="0" w:color="auto" w:frame="1"/>
          <w:lang w:val="en-US"/>
        </w:rPr>
        <w:t>Thailand, Timor-Leste, Vietnam.  North East Asia: China, Japan, Mongolia, the Democratic People's Republic of Korea, and the Republic of Korea. South Asia: Afghanistan, Bangladesh, Bhutan, India, Islamic Republic of Iran, Maldives, Nepal, Pakistan, and Sri Lanka. </w:t>
      </w:r>
    </w:p>
    <w:p w14:paraId="10A22B2A" w14:textId="77777777" w:rsidR="00103A47" w:rsidRPr="005E19C3" w:rsidRDefault="00103A47" w:rsidP="00103A47">
      <w:pPr>
        <w:shd w:val="clear" w:color="auto" w:fill="FFFFFF"/>
        <w:spacing w:after="0" w:line="240" w:lineRule="auto"/>
        <w:jc w:val="both"/>
        <w:rPr>
          <w:rFonts w:eastAsia="Times New Roman" w:cstheme="minorHAnsi"/>
          <w:color w:val="000000"/>
          <w:lang w:val="en-US"/>
        </w:rPr>
      </w:pPr>
      <w:r w:rsidRPr="005E19C3">
        <w:rPr>
          <w:rFonts w:eastAsia="Times New Roman" w:cstheme="minorHAnsi"/>
          <w:color w:val="000000"/>
          <w:bdr w:val="none" w:sz="0" w:space="0" w:color="auto" w:frame="1"/>
          <w:lang w:val="en-US"/>
        </w:rPr>
        <w:t> </w:t>
      </w:r>
    </w:p>
    <w:p w14:paraId="385EA54D" w14:textId="30475ADC" w:rsidR="00103A47" w:rsidRPr="005E19C3" w:rsidRDefault="000B69B3" w:rsidP="00103A47">
      <w:pPr>
        <w:spacing w:after="0" w:line="240" w:lineRule="auto"/>
        <w:rPr>
          <w:rFonts w:ascii="Times New Roman" w:eastAsia="Times New Roman" w:hAnsi="Times New Roman" w:cs="Times New Roman"/>
          <w:sz w:val="24"/>
          <w:szCs w:val="24"/>
          <w:lang w:val="en-US"/>
        </w:rPr>
      </w:pPr>
      <w:r w:rsidRPr="005E19C3">
        <w:rPr>
          <w:rFonts w:eastAsia="Times New Roman" w:cstheme="minorHAnsi"/>
          <w:b/>
          <w:bCs/>
          <w:color w:val="000000"/>
          <w:u w:val="single"/>
          <w:bdr w:val="none" w:sz="0" w:space="0" w:color="auto" w:frame="1"/>
          <w:lang w:val="en-US"/>
        </w:rPr>
        <w:t xml:space="preserve">Central Asia and </w:t>
      </w:r>
      <w:r w:rsidR="00103A47" w:rsidRPr="005E19C3">
        <w:rPr>
          <w:rFonts w:eastAsia="Times New Roman" w:cstheme="minorHAnsi"/>
          <w:b/>
          <w:bCs/>
          <w:color w:val="000000"/>
          <w:u w:val="single"/>
          <w:bdr w:val="none" w:sz="0" w:space="0" w:color="auto" w:frame="1"/>
          <w:lang w:val="en-US"/>
        </w:rPr>
        <w:t>Eastern Europe</w:t>
      </w:r>
      <w:r w:rsidR="00103A47" w:rsidRPr="005E19C3">
        <w:rPr>
          <w:rFonts w:eastAsia="Times New Roman" w:cstheme="minorHAnsi"/>
          <w:color w:val="000000"/>
          <w:bdr w:val="none" w:sz="0" w:space="0" w:color="auto" w:frame="1"/>
          <w:lang w:val="en-US"/>
        </w:rPr>
        <w:t>: </w:t>
      </w:r>
    </w:p>
    <w:p w14:paraId="21F859E9" w14:textId="77777777" w:rsidR="00103A47" w:rsidRPr="005E19C3" w:rsidRDefault="00103A47" w:rsidP="00103A47">
      <w:pPr>
        <w:shd w:val="clear" w:color="auto" w:fill="FFFFFF"/>
        <w:spacing w:after="0" w:line="240" w:lineRule="auto"/>
        <w:jc w:val="both"/>
        <w:rPr>
          <w:rFonts w:eastAsia="Times New Roman" w:cstheme="minorHAnsi"/>
          <w:color w:val="000000"/>
          <w:lang w:val="en-US"/>
        </w:rPr>
      </w:pPr>
    </w:p>
    <w:p w14:paraId="4F9DF871" w14:textId="74E1A09E" w:rsidR="00103A47" w:rsidRPr="005E19C3" w:rsidRDefault="00103A47" w:rsidP="00103A47">
      <w:pPr>
        <w:shd w:val="clear" w:color="auto" w:fill="FFFFFF"/>
        <w:spacing w:after="0" w:line="240" w:lineRule="auto"/>
        <w:jc w:val="both"/>
        <w:rPr>
          <w:rFonts w:eastAsia="Times New Roman" w:cstheme="minorHAnsi"/>
          <w:color w:val="000000"/>
          <w:bdr w:val="none" w:sz="0" w:space="0" w:color="auto" w:frame="1"/>
          <w:lang w:val="en-US"/>
        </w:rPr>
      </w:pPr>
      <w:r w:rsidRPr="005E19C3">
        <w:rPr>
          <w:rFonts w:eastAsia="Times New Roman" w:cstheme="minorHAnsi"/>
          <w:color w:val="000000"/>
          <w:bdr w:val="none" w:sz="0" w:space="0" w:color="auto" w:frame="1"/>
          <w:lang w:val="en-US"/>
        </w:rPr>
        <w:t xml:space="preserve">Central Asia: Kazakhstan, Kyrgyzstan, Tajikistan, Turkmenistan, and Uzbekistan. Eastern Europe: Albania, Armenia, Azerbaijan, Belarus, Bosnia and Herzegovina, Georgia, </w:t>
      </w:r>
      <w:r w:rsidR="00B635FC" w:rsidRPr="005E19C3">
        <w:rPr>
          <w:rFonts w:eastAsia="Times New Roman" w:cstheme="minorHAnsi"/>
          <w:color w:val="000000"/>
          <w:bdr w:val="none" w:sz="0" w:space="0" w:color="auto" w:frame="1"/>
          <w:lang w:val="en-US"/>
        </w:rPr>
        <w:t xml:space="preserve">Kosovo, </w:t>
      </w:r>
      <w:r w:rsidRPr="005E19C3">
        <w:rPr>
          <w:rFonts w:eastAsia="Times New Roman" w:cstheme="minorHAnsi"/>
          <w:color w:val="000000"/>
          <w:bdr w:val="none" w:sz="0" w:space="0" w:color="auto" w:frame="1"/>
          <w:lang w:val="en-US"/>
        </w:rPr>
        <w:t>North Macedonia, Montenegro, the Republic of Moldova, the Russian Federation, Serbia, and Ukraine. </w:t>
      </w:r>
    </w:p>
    <w:p w14:paraId="7A50D4C0" w14:textId="77777777" w:rsidR="00103A47" w:rsidRPr="005E19C3" w:rsidRDefault="00103A47" w:rsidP="00103A47">
      <w:pPr>
        <w:shd w:val="clear" w:color="auto" w:fill="FFFFFF"/>
        <w:spacing w:after="0" w:line="240" w:lineRule="auto"/>
        <w:jc w:val="both"/>
        <w:rPr>
          <w:rFonts w:eastAsia="Times New Roman" w:cstheme="minorHAnsi"/>
          <w:color w:val="000000"/>
          <w:bdr w:val="none" w:sz="0" w:space="0" w:color="auto" w:frame="1"/>
          <w:lang w:val="en-US"/>
        </w:rPr>
      </w:pPr>
      <w:r w:rsidRPr="005E19C3">
        <w:rPr>
          <w:rFonts w:eastAsia="Times New Roman" w:cstheme="minorHAnsi"/>
          <w:color w:val="000000"/>
          <w:bdr w:val="none" w:sz="0" w:space="0" w:color="auto" w:frame="1"/>
          <w:lang w:val="en-US"/>
        </w:rPr>
        <w:t> </w:t>
      </w:r>
    </w:p>
    <w:p w14:paraId="09FEB174" w14:textId="0A0B94D1" w:rsidR="00103A47" w:rsidRPr="005E19C3" w:rsidRDefault="00103A47" w:rsidP="00103A47">
      <w:pPr>
        <w:spacing w:after="0" w:line="240" w:lineRule="auto"/>
        <w:jc w:val="both"/>
        <w:rPr>
          <w:rFonts w:ascii="Times New Roman" w:eastAsia="Times New Roman" w:hAnsi="Times New Roman" w:cs="Times New Roman"/>
          <w:sz w:val="24"/>
          <w:szCs w:val="24"/>
          <w:lang w:val="en-US"/>
        </w:rPr>
      </w:pPr>
      <w:r w:rsidRPr="005E19C3">
        <w:rPr>
          <w:rFonts w:eastAsia="Times New Roman" w:cstheme="minorHAnsi"/>
          <w:b/>
          <w:bCs/>
          <w:color w:val="000000"/>
          <w:u w:val="single"/>
          <w:bdr w:val="none" w:sz="0" w:space="0" w:color="auto" w:frame="1"/>
          <w:lang w:val="en-US"/>
        </w:rPr>
        <w:t>European Union and other states in Western Europe:</w:t>
      </w:r>
      <w:r w:rsidRPr="005E19C3">
        <w:rPr>
          <w:rFonts w:eastAsia="Times New Roman" w:cstheme="minorHAnsi"/>
          <w:color w:val="000000"/>
          <w:bdr w:val="none" w:sz="0" w:space="0" w:color="auto" w:frame="1"/>
          <w:lang w:val="en-US"/>
        </w:rPr>
        <w:t> </w:t>
      </w:r>
    </w:p>
    <w:p w14:paraId="0AEA719B" w14:textId="77777777" w:rsidR="00103A47" w:rsidRPr="005E19C3" w:rsidRDefault="00103A47" w:rsidP="00103A47">
      <w:pPr>
        <w:shd w:val="clear" w:color="auto" w:fill="FFFFFF"/>
        <w:spacing w:after="0" w:line="240" w:lineRule="auto"/>
        <w:jc w:val="both"/>
        <w:rPr>
          <w:rFonts w:eastAsia="Times New Roman" w:cstheme="minorHAnsi"/>
          <w:color w:val="000000"/>
          <w:lang w:val="en-US"/>
        </w:rPr>
      </w:pPr>
    </w:p>
    <w:p w14:paraId="5F14FF34" w14:textId="538484DD" w:rsidR="00103A47" w:rsidRPr="005E19C3" w:rsidRDefault="00103A47" w:rsidP="00103A47">
      <w:pPr>
        <w:shd w:val="clear" w:color="auto" w:fill="FFFFFF"/>
        <w:spacing w:after="0" w:line="240" w:lineRule="auto"/>
        <w:jc w:val="both"/>
        <w:rPr>
          <w:rFonts w:eastAsia="Times New Roman" w:cstheme="minorHAnsi"/>
          <w:color w:val="000000"/>
          <w:bdr w:val="none" w:sz="0" w:space="0" w:color="auto" w:frame="1"/>
          <w:lang w:val="en-US"/>
        </w:rPr>
      </w:pPr>
      <w:r w:rsidRPr="005E19C3">
        <w:rPr>
          <w:rFonts w:eastAsia="Times New Roman" w:cstheme="minorHAnsi"/>
          <w:color w:val="000000"/>
          <w:bdr w:val="none" w:sz="0" w:space="0" w:color="auto" w:frame="1"/>
          <w:lang w:val="en-US"/>
        </w:rPr>
        <w:t>Andorra, Austria, Belgium, Bulgaria, Croatia, Cyprus, the Czech Republic, Denmark, Estonia, Finland, France, Germany, Greece, Hungary, Iceland, Ireland, Italy, Latvia, Liechtenstein, Lithua</w:t>
      </w:r>
      <w:r w:rsidR="00207930" w:rsidRPr="005E19C3">
        <w:rPr>
          <w:rFonts w:eastAsia="Times New Roman" w:cstheme="minorHAnsi"/>
          <w:color w:val="000000"/>
          <w:bdr w:val="none" w:sz="0" w:space="0" w:color="auto" w:frame="1"/>
          <w:lang w:val="en-US"/>
        </w:rPr>
        <w:t>nia, Luxembourg, Malta, Monaco,</w:t>
      </w:r>
      <w:r w:rsidRPr="005E19C3">
        <w:rPr>
          <w:rFonts w:eastAsia="Times New Roman" w:cstheme="minorHAnsi"/>
          <w:color w:val="000000"/>
          <w:bdr w:val="none" w:sz="0" w:space="0" w:color="auto" w:frame="1"/>
          <w:lang w:val="en-US"/>
        </w:rPr>
        <w:t xml:space="preserve"> Netherlands, Norway, Poland, Portugal, Romania, San Marino, Serbia, Slovenia, Slovakia, Spain, Sweden, Switzerland, Turkey, and United Kingdom. </w:t>
      </w:r>
    </w:p>
    <w:p w14:paraId="438F5B10" w14:textId="77777777" w:rsidR="00103A47" w:rsidRPr="005E19C3" w:rsidRDefault="00103A47" w:rsidP="00103A47">
      <w:pPr>
        <w:shd w:val="clear" w:color="auto" w:fill="FFFFFF"/>
        <w:spacing w:after="0" w:line="240" w:lineRule="auto"/>
        <w:jc w:val="both"/>
        <w:rPr>
          <w:rFonts w:eastAsia="Times New Roman" w:cstheme="minorHAnsi"/>
          <w:color w:val="000000"/>
          <w:lang w:val="en-US"/>
        </w:rPr>
      </w:pPr>
    </w:p>
    <w:p w14:paraId="6DA5413D" w14:textId="5C619B0A" w:rsidR="00103A47" w:rsidRPr="005E19C3" w:rsidRDefault="00103A47" w:rsidP="00103A47">
      <w:pPr>
        <w:spacing w:after="0" w:line="240" w:lineRule="auto"/>
        <w:jc w:val="both"/>
        <w:rPr>
          <w:rFonts w:ascii="Times New Roman" w:eastAsia="Times New Roman" w:hAnsi="Times New Roman" w:cs="Times New Roman"/>
          <w:sz w:val="24"/>
          <w:szCs w:val="24"/>
          <w:lang w:val="en-US"/>
        </w:rPr>
      </w:pPr>
      <w:r w:rsidRPr="005E19C3">
        <w:rPr>
          <w:rFonts w:eastAsia="Times New Roman" w:cstheme="minorHAnsi"/>
          <w:b/>
          <w:bCs/>
          <w:color w:val="000000"/>
          <w:u w:val="single"/>
          <w:bdr w:val="none" w:sz="0" w:space="0" w:color="auto" w:frame="1"/>
          <w:lang w:val="en-US"/>
        </w:rPr>
        <w:t>Middle East and North Africa:</w:t>
      </w:r>
      <w:r w:rsidRPr="005E19C3">
        <w:rPr>
          <w:rFonts w:eastAsia="Times New Roman" w:cstheme="minorHAnsi"/>
          <w:color w:val="000000"/>
          <w:bdr w:val="none" w:sz="0" w:space="0" w:color="auto" w:frame="1"/>
          <w:lang w:val="en-US"/>
        </w:rPr>
        <w:t> </w:t>
      </w:r>
      <w:r w:rsidRPr="005E19C3">
        <w:rPr>
          <w:rFonts w:eastAsia="Times New Roman" w:cstheme="minorHAnsi"/>
          <w:lang w:val="en-US"/>
        </w:rPr>
        <w:t xml:space="preserve"> </w:t>
      </w:r>
    </w:p>
    <w:p w14:paraId="77C4A57C" w14:textId="77777777" w:rsidR="00103A47" w:rsidRPr="005E19C3" w:rsidRDefault="00103A47" w:rsidP="00103A47">
      <w:pPr>
        <w:spacing w:after="0" w:line="240" w:lineRule="auto"/>
        <w:rPr>
          <w:rFonts w:ascii="Times New Roman" w:eastAsia="Times New Roman" w:hAnsi="Times New Roman" w:cs="Times New Roman"/>
          <w:sz w:val="24"/>
          <w:szCs w:val="24"/>
          <w:lang w:val="en-US"/>
        </w:rPr>
      </w:pPr>
    </w:p>
    <w:p w14:paraId="4E0D8EA4" w14:textId="2085C9DA" w:rsidR="00103A47" w:rsidRPr="005E19C3" w:rsidRDefault="00103A47" w:rsidP="00103A47">
      <w:pPr>
        <w:shd w:val="clear" w:color="auto" w:fill="FFFFFF"/>
        <w:spacing w:after="0" w:line="240" w:lineRule="auto"/>
        <w:jc w:val="both"/>
        <w:rPr>
          <w:rFonts w:eastAsia="Times New Roman" w:cstheme="minorHAnsi"/>
          <w:color w:val="000000"/>
          <w:bdr w:val="none" w:sz="0" w:space="0" w:color="auto" w:frame="1"/>
          <w:lang w:val="en-US"/>
        </w:rPr>
      </w:pPr>
      <w:r w:rsidRPr="005E19C3">
        <w:rPr>
          <w:rFonts w:eastAsia="Times New Roman" w:cstheme="minorHAnsi"/>
          <w:color w:val="000000"/>
          <w:bdr w:val="none" w:sz="0" w:space="0" w:color="auto" w:frame="1"/>
          <w:lang w:val="en-US"/>
        </w:rPr>
        <w:t xml:space="preserve">Middle East and the Gulf States: Bahrain, </w:t>
      </w:r>
      <w:r w:rsidR="00C05CE4" w:rsidRPr="005E19C3">
        <w:rPr>
          <w:rFonts w:eastAsia="Times New Roman" w:cstheme="minorHAnsi"/>
          <w:color w:val="000000"/>
          <w:bdr w:val="none" w:sz="0" w:space="0" w:color="auto" w:frame="1"/>
          <w:lang w:val="en-US"/>
        </w:rPr>
        <w:t xml:space="preserve">Iraq, Israel, </w:t>
      </w:r>
      <w:r w:rsidRPr="005E19C3">
        <w:rPr>
          <w:rFonts w:eastAsia="Times New Roman" w:cstheme="minorHAnsi"/>
          <w:color w:val="000000"/>
          <w:bdr w:val="none" w:sz="0" w:space="0" w:color="auto" w:frame="1"/>
          <w:lang w:val="en-US"/>
        </w:rPr>
        <w:t>Jordan, Kuwait, Lebanon, Oman, Qatar, Saudi A</w:t>
      </w:r>
      <w:r w:rsidR="00C05CE4" w:rsidRPr="005E19C3">
        <w:rPr>
          <w:rFonts w:eastAsia="Times New Roman" w:cstheme="minorHAnsi"/>
          <w:color w:val="000000"/>
          <w:bdr w:val="none" w:sz="0" w:space="0" w:color="auto" w:frame="1"/>
          <w:lang w:val="en-US"/>
        </w:rPr>
        <w:t xml:space="preserve">rabia, Syrian Arab Republic, </w:t>
      </w:r>
      <w:r w:rsidRPr="005E19C3">
        <w:rPr>
          <w:rFonts w:eastAsia="Times New Roman" w:cstheme="minorHAnsi"/>
          <w:color w:val="000000"/>
          <w:bdr w:val="none" w:sz="0" w:space="0" w:color="auto" w:frame="1"/>
          <w:lang w:val="en-US"/>
        </w:rPr>
        <w:t>State of Palestine, United Arab Emirates, and Yemen. </w:t>
      </w:r>
    </w:p>
    <w:p w14:paraId="15CD1305" w14:textId="644247B5" w:rsidR="00706D5C" w:rsidRDefault="00103A47" w:rsidP="00706D5C">
      <w:pPr>
        <w:shd w:val="clear" w:color="auto" w:fill="FFFFFF"/>
        <w:spacing w:after="0" w:line="240" w:lineRule="auto"/>
        <w:jc w:val="both"/>
        <w:rPr>
          <w:rFonts w:eastAsia="Times New Roman" w:cstheme="minorHAnsi"/>
          <w:color w:val="000000"/>
          <w:bdr w:val="none" w:sz="0" w:space="0" w:color="auto" w:frame="1"/>
          <w:lang w:val="en-US"/>
        </w:rPr>
      </w:pPr>
      <w:r w:rsidRPr="005E19C3">
        <w:rPr>
          <w:rFonts w:eastAsia="Times New Roman" w:cstheme="minorHAnsi"/>
          <w:color w:val="000000"/>
          <w:bdr w:val="none" w:sz="0" w:space="0" w:color="auto" w:frame="1"/>
          <w:lang w:val="en-US"/>
        </w:rPr>
        <w:t>North Africa: Algeria, Egyp</w:t>
      </w:r>
      <w:r w:rsidR="00706D5C" w:rsidRPr="005E19C3">
        <w:rPr>
          <w:rFonts w:eastAsia="Times New Roman" w:cstheme="minorHAnsi"/>
          <w:color w:val="000000"/>
          <w:bdr w:val="none" w:sz="0" w:space="0" w:color="auto" w:frame="1"/>
          <w:lang w:val="en-US"/>
        </w:rPr>
        <w:t>t, Libya, Morocco, and Tunisia.</w:t>
      </w:r>
    </w:p>
    <w:p w14:paraId="30E7BE2F" w14:textId="316C779E" w:rsidR="00220519" w:rsidRPr="005E19C3" w:rsidRDefault="00220519" w:rsidP="00706D5C">
      <w:pPr>
        <w:shd w:val="clear" w:color="auto" w:fill="FFFFFF"/>
        <w:spacing w:after="0" w:line="240" w:lineRule="auto"/>
        <w:jc w:val="both"/>
        <w:rPr>
          <w:rFonts w:eastAsia="Times New Roman" w:cstheme="minorHAnsi"/>
          <w:color w:val="000000"/>
          <w:bdr w:val="none" w:sz="0" w:space="0" w:color="auto" w:frame="1"/>
          <w:lang w:val="en-US"/>
        </w:rPr>
      </w:pPr>
    </w:p>
    <w:p w14:paraId="601B4264" w14:textId="17491F7E" w:rsidR="00220519" w:rsidRPr="00220519" w:rsidRDefault="006C4EF3" w:rsidP="00220519">
      <w:pPr>
        <w:shd w:val="clear" w:color="auto" w:fill="FFFFFF"/>
        <w:spacing w:after="0" w:line="240" w:lineRule="auto"/>
        <w:jc w:val="center"/>
        <w:rPr>
          <w:lang w:val="en-US"/>
        </w:rPr>
      </w:pPr>
      <w:r w:rsidRPr="005E19C3">
        <w:rPr>
          <w:lang w:val="en-US"/>
        </w:rPr>
        <w:t>_</w:t>
      </w:r>
      <w:r w:rsidR="00567181" w:rsidRPr="005E19C3">
        <w:rPr>
          <w:lang w:val="en-US"/>
        </w:rPr>
        <w:t>______</w:t>
      </w:r>
    </w:p>
    <w:sectPr w:rsidR="00220519" w:rsidRPr="00220519" w:rsidSect="00706D5C">
      <w:footerReference w:type="even" r:id="rId19"/>
      <w:footerReference w:type="default" r:id="rId20"/>
      <w:pgSz w:w="11906" w:h="16838"/>
      <w:pgMar w:top="1440" w:right="1440" w:bottom="1135"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87A" w16cex:dateUtc="2021-01-07T13:26:00Z"/>
  <w16cex:commentExtensible w16cex:durableId="23A198A4" w16cex:dateUtc="2021-01-07T13:26:00Z"/>
  <w16cex:commentExtensible w16cex:durableId="239D9C9B" w16cex:dateUtc="2021-01-04T13:54:00Z"/>
  <w16cex:commentExtensible w16cex:durableId="239D9B62" w16cex:dateUtc="2021-01-04T13:49:00Z"/>
  <w16cex:commentExtensible w16cex:durableId="23A1990F" w16cex:dateUtc="2021-01-07T13:28:00Z"/>
  <w16cex:commentExtensible w16cex:durableId="238B0798" w16cex:dateUtc="2020-12-21T10:38:00Z"/>
  <w16cex:commentExtensible w16cex:durableId="23A19931" w16cex:dateUtc="2021-01-07T13:29:00Z"/>
  <w16cex:commentExtensible w16cex:durableId="238B0756" w16cex:dateUtc="2020-12-21T10:36:00Z"/>
  <w16cex:commentExtensible w16cex:durableId="238B0963" w16cex:dateUtc="2020-12-21T10:45:00Z"/>
  <w16cex:commentExtensible w16cex:durableId="239D81B8" w16cex:dateUtc="2021-01-04T11:59:00Z"/>
  <w16cex:commentExtensible w16cex:durableId="239EBC00" w16cex:dateUtc="2021-01-05T09:20:00Z"/>
  <w16cex:commentExtensible w16cex:durableId="23A1997A" w16cex:dateUtc="2021-01-07T13:30:00Z"/>
  <w16cex:commentExtensible w16cex:durableId="239EBCCE" w16cex:dateUtc="2021-01-05T09:24:00Z"/>
  <w16cex:commentExtensible w16cex:durableId="23A199E9" w16cex:dateUtc="2021-01-07T13:32:00Z"/>
  <w16cex:commentExtensible w16cex:durableId="238B09A6" w16cex:dateUtc="2020-12-21T10:46:00Z"/>
  <w16cex:commentExtensible w16cex:durableId="239D7F9D" w16cex:dateUtc="2021-01-04T11:50:00Z"/>
  <w16cex:commentExtensible w16cex:durableId="23A19A56" w16cex:dateUtc="2021-01-07T13:33:00Z"/>
  <w16cex:commentExtensible w16cex:durableId="239D8127" w16cex:dateUtc="2021-01-04T11:57:00Z"/>
  <w16cex:commentExtensible w16cex:durableId="23A19B40" w16cex:dateUtc="2021-01-07T13:37:00Z"/>
  <w16cex:commentExtensible w16cex:durableId="23A19B9D" w16cex:dateUtc="2021-01-07T13:39:00Z"/>
  <w16cex:commentExtensible w16cex:durableId="239D8348" w16cex:dateUtc="2021-01-04T12:06:00Z"/>
  <w16cex:commentExtensible w16cex:durableId="239D838D" w16cex:dateUtc="2021-01-04T12:07:00Z"/>
  <w16cex:commentExtensible w16cex:durableId="239EBDB7" w16cex:dateUtc="2021-01-05T09:28:00Z"/>
  <w16cex:commentExtensible w16cex:durableId="239D84D3" w16cex:dateUtc="2021-01-04T12:13:00Z"/>
  <w16cex:commentExtensible w16cex:durableId="239EBE32" w16cex:dateUtc="2021-01-05T09:30:00Z"/>
  <w16cex:commentExtensible w16cex:durableId="23A19BE0" w16cex:dateUtc="2021-01-07T13:40:00Z"/>
  <w16cex:commentExtensible w16cex:durableId="239EBE8A" w16cex:dateUtc="2021-01-05T09:31:00Z"/>
  <w16cex:commentExtensible w16cex:durableId="238B0B22" w16cex:dateUtc="2020-12-21T10:53:00Z"/>
  <w16cex:commentExtensible w16cex:durableId="23A19C3E" w16cex:dateUtc="2021-01-07T13:42:00Z"/>
  <w16cex:commentExtensible w16cex:durableId="23A19E64" w16cex:dateUtc="2021-01-07T13:51:00Z"/>
  <w16cex:commentExtensible w16cex:durableId="23A19D88" w16cex:dateUtc="2021-01-07T13:47:00Z"/>
  <w16cex:commentExtensible w16cex:durableId="23A19DAD" w16cex:dateUtc="2021-01-07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5B9494" w16cid:durableId="23A1987A"/>
  <w16cid:commentId w16cid:paraId="7D4E6EEA" w16cid:durableId="23A198A4"/>
  <w16cid:commentId w16cid:paraId="6FD7A05D" w16cid:durableId="239D9C9B"/>
  <w16cid:commentId w16cid:paraId="2AA00010" w16cid:durableId="239D9B62"/>
  <w16cid:commentId w16cid:paraId="1BA83774" w16cid:durableId="23A1990F"/>
  <w16cid:commentId w16cid:paraId="34BC7321" w16cid:durableId="238B0798"/>
  <w16cid:commentId w16cid:paraId="6ABD356B" w16cid:durableId="23A19931"/>
  <w16cid:commentId w16cid:paraId="40ACD8D5" w16cid:durableId="238B0756"/>
  <w16cid:commentId w16cid:paraId="5ADE2A62" w16cid:durableId="238B0963"/>
  <w16cid:commentId w16cid:paraId="0C4C12BF" w16cid:durableId="239D81B8"/>
  <w16cid:commentId w16cid:paraId="1E5426B0" w16cid:durableId="239EBC00"/>
  <w16cid:commentId w16cid:paraId="062C1A94" w16cid:durableId="23A1997A"/>
  <w16cid:commentId w16cid:paraId="054C91A1" w16cid:durableId="239EBCCE"/>
  <w16cid:commentId w16cid:paraId="717C1CCB" w16cid:durableId="23A199E9"/>
  <w16cid:commentId w16cid:paraId="7D5D8DF3" w16cid:durableId="238B09A6"/>
  <w16cid:commentId w16cid:paraId="780CD96C" w16cid:durableId="239D7F9D"/>
  <w16cid:commentId w16cid:paraId="040F666B" w16cid:durableId="23A19A56"/>
  <w16cid:commentId w16cid:paraId="52D5FA7E" w16cid:durableId="239D8127"/>
  <w16cid:commentId w16cid:paraId="2239B33C" w16cid:durableId="23A19B40"/>
  <w16cid:commentId w16cid:paraId="3AC202E1" w16cid:durableId="23A19B9D"/>
  <w16cid:commentId w16cid:paraId="2FDD9072" w16cid:durableId="239D8348"/>
  <w16cid:commentId w16cid:paraId="515D91CB" w16cid:durableId="239D838D"/>
  <w16cid:commentId w16cid:paraId="1B2E9850" w16cid:durableId="239EBDB7"/>
  <w16cid:commentId w16cid:paraId="3A8A0B27" w16cid:durableId="239D84D3"/>
  <w16cid:commentId w16cid:paraId="388B705F" w16cid:durableId="239EBE32"/>
  <w16cid:commentId w16cid:paraId="55A28774" w16cid:durableId="23A19BE0"/>
  <w16cid:commentId w16cid:paraId="0ADA6AAA" w16cid:durableId="239EBE8A"/>
  <w16cid:commentId w16cid:paraId="0FCD41C1" w16cid:durableId="238B0B22"/>
  <w16cid:commentId w16cid:paraId="56A77FC5" w16cid:durableId="23A19C3E"/>
  <w16cid:commentId w16cid:paraId="0F5D470B" w16cid:durableId="23A19E64"/>
  <w16cid:commentId w16cid:paraId="63101E0D" w16cid:durableId="23A19D88"/>
  <w16cid:commentId w16cid:paraId="34BAEA46" w16cid:durableId="23A19D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C7E87" w14:textId="77777777" w:rsidR="00C37A47" w:rsidRDefault="00C37A47" w:rsidP="00C55A7A">
      <w:pPr>
        <w:spacing w:after="0" w:line="240" w:lineRule="auto"/>
      </w:pPr>
      <w:r>
        <w:separator/>
      </w:r>
    </w:p>
  </w:endnote>
  <w:endnote w:type="continuationSeparator" w:id="0">
    <w:p w14:paraId="733D1EC2" w14:textId="77777777" w:rsidR="00C37A47" w:rsidRDefault="00C37A47" w:rsidP="00C5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13280107"/>
      <w:docPartObj>
        <w:docPartGallery w:val="Page Numbers (Bottom of Page)"/>
        <w:docPartUnique/>
      </w:docPartObj>
    </w:sdtPr>
    <w:sdtEndPr>
      <w:rPr>
        <w:rStyle w:val="PageNumber"/>
      </w:rPr>
    </w:sdtEndPr>
    <w:sdtContent>
      <w:p w14:paraId="75ECBFBC" w14:textId="77EC22F3" w:rsidR="00C37A47" w:rsidRDefault="00C37A47" w:rsidP="00DB4F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64BE7E" w14:textId="77777777" w:rsidR="00C37A47" w:rsidRDefault="00C37A47" w:rsidP="001703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1170368"/>
      <w:docPartObj>
        <w:docPartGallery w:val="Page Numbers (Bottom of Page)"/>
        <w:docPartUnique/>
      </w:docPartObj>
    </w:sdtPr>
    <w:sdtEndPr>
      <w:rPr>
        <w:rStyle w:val="PageNumber"/>
      </w:rPr>
    </w:sdtEndPr>
    <w:sdtContent>
      <w:p w14:paraId="7D79E21C" w14:textId="5FF544E9" w:rsidR="00C37A47" w:rsidRDefault="00C37A47" w:rsidP="00DB4F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456F">
          <w:rPr>
            <w:rStyle w:val="PageNumber"/>
            <w:noProof/>
          </w:rPr>
          <w:t>1</w:t>
        </w:r>
        <w:r>
          <w:rPr>
            <w:rStyle w:val="PageNumber"/>
          </w:rPr>
          <w:fldChar w:fldCharType="end"/>
        </w:r>
      </w:p>
    </w:sdtContent>
  </w:sdt>
  <w:p w14:paraId="416C9416" w14:textId="77777777" w:rsidR="00C37A47" w:rsidRDefault="00C37A47" w:rsidP="001703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0C5E5" w14:textId="77777777" w:rsidR="00C37A47" w:rsidRDefault="00C37A47" w:rsidP="00C55A7A">
      <w:pPr>
        <w:spacing w:after="0" w:line="240" w:lineRule="auto"/>
      </w:pPr>
      <w:r>
        <w:separator/>
      </w:r>
    </w:p>
  </w:footnote>
  <w:footnote w:type="continuationSeparator" w:id="0">
    <w:p w14:paraId="2E298372" w14:textId="77777777" w:rsidR="00C37A47" w:rsidRDefault="00C37A47" w:rsidP="00C55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5207"/>
    <w:multiLevelType w:val="hybridMultilevel"/>
    <w:tmpl w:val="43A2FAF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7798F"/>
    <w:multiLevelType w:val="hybridMultilevel"/>
    <w:tmpl w:val="8ED405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54CEA"/>
    <w:multiLevelType w:val="hybridMultilevel"/>
    <w:tmpl w:val="A4EEF0D0"/>
    <w:lvl w:ilvl="0" w:tplc="C3681BD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D7668"/>
    <w:multiLevelType w:val="multilevel"/>
    <w:tmpl w:val="98C4400E"/>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2247479D"/>
    <w:multiLevelType w:val="hybridMultilevel"/>
    <w:tmpl w:val="B3646F6E"/>
    <w:lvl w:ilvl="0" w:tplc="72E42F9E">
      <w:start w:val="1"/>
      <w:numFmt w:val="lowerLetter"/>
      <w:lvlText w:val="(%1)"/>
      <w:lvlJc w:val="left"/>
      <w:pPr>
        <w:ind w:left="1080" w:hanging="360"/>
      </w:pPr>
      <w:rPr>
        <w:rFonts w:asciiTheme="minorHAnsi" w:eastAsiaTheme="minorHAnsi" w:hAnsiTheme="minorHAnsi" w:cstheme="minorBid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EC230E"/>
    <w:multiLevelType w:val="hybridMultilevel"/>
    <w:tmpl w:val="CE06722A"/>
    <w:lvl w:ilvl="0" w:tplc="45BA4A16">
      <w:numFmt w:val="bullet"/>
      <w:lvlText w:val="-"/>
      <w:lvlJc w:val="left"/>
      <w:pPr>
        <w:ind w:left="720" w:hanging="360"/>
      </w:pPr>
      <w:rPr>
        <w:rFonts w:ascii="Calibri" w:eastAsiaTheme="minorHAnsi" w:hAnsi="Calibri" w:cs="Calibri" w:hint="default"/>
      </w:rPr>
    </w:lvl>
    <w:lvl w:ilvl="1" w:tplc="52B0BDB6">
      <w:start w:val="1"/>
      <w:numFmt w:val="decimal"/>
      <w:lvlText w:val="%2."/>
      <w:lvlJc w:val="left"/>
      <w:pPr>
        <w:ind w:left="1440" w:hanging="360"/>
      </w:pPr>
      <w:rPr>
        <w:rFonts w:asciiTheme="minorHAnsi" w:eastAsiaTheme="minorHAnsi" w:hAnsiTheme="minorHAnsi" w:cstheme="minorBid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87C62"/>
    <w:multiLevelType w:val="hybridMultilevel"/>
    <w:tmpl w:val="AFDC41DE"/>
    <w:lvl w:ilvl="0" w:tplc="5E78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A6F2B"/>
    <w:multiLevelType w:val="hybridMultilevel"/>
    <w:tmpl w:val="509243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A2C65"/>
    <w:multiLevelType w:val="multilevel"/>
    <w:tmpl w:val="C6FAEB4E"/>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37E91508"/>
    <w:multiLevelType w:val="hybridMultilevel"/>
    <w:tmpl w:val="653E692A"/>
    <w:lvl w:ilvl="0" w:tplc="85DE20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04E32"/>
    <w:multiLevelType w:val="hybridMultilevel"/>
    <w:tmpl w:val="32426E84"/>
    <w:lvl w:ilvl="0" w:tplc="3662DC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94EE4"/>
    <w:multiLevelType w:val="hybridMultilevel"/>
    <w:tmpl w:val="0A862548"/>
    <w:lvl w:ilvl="0" w:tplc="099E2F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C534A1"/>
    <w:multiLevelType w:val="hybridMultilevel"/>
    <w:tmpl w:val="661483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E2A51"/>
    <w:multiLevelType w:val="hybridMultilevel"/>
    <w:tmpl w:val="0A862548"/>
    <w:lvl w:ilvl="0" w:tplc="099E2F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301D9"/>
    <w:multiLevelType w:val="hybridMultilevel"/>
    <w:tmpl w:val="151AD36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D233FC"/>
    <w:multiLevelType w:val="hybridMultilevel"/>
    <w:tmpl w:val="0E9605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75A68"/>
    <w:multiLevelType w:val="multilevel"/>
    <w:tmpl w:val="0BFADCE2"/>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610A7F71"/>
    <w:multiLevelType w:val="hybridMultilevel"/>
    <w:tmpl w:val="7C2646B0"/>
    <w:lvl w:ilvl="0" w:tplc="F76EE0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E97A5B"/>
    <w:multiLevelType w:val="multilevel"/>
    <w:tmpl w:val="A0EE52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3F85FBE"/>
    <w:multiLevelType w:val="multilevel"/>
    <w:tmpl w:val="9EEAEC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B007FF"/>
    <w:multiLevelType w:val="hybridMultilevel"/>
    <w:tmpl w:val="CA6E5D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8129C"/>
    <w:multiLevelType w:val="hybridMultilevel"/>
    <w:tmpl w:val="5BE85666"/>
    <w:lvl w:ilvl="0" w:tplc="819E2B74">
      <w:start w:val="1"/>
      <w:numFmt w:val="bullet"/>
      <w:lvlText w:val="–"/>
      <w:lvlJc w:val="left"/>
      <w:pPr>
        <w:ind w:left="720" w:hanging="360"/>
      </w:pPr>
      <w:rPr>
        <w:rFonts w:ascii="Open Sans" w:eastAsiaTheme="minorHAnsi" w:hAnsi="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E4709"/>
    <w:multiLevelType w:val="multilevel"/>
    <w:tmpl w:val="CD22357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DA5424"/>
    <w:multiLevelType w:val="hybridMultilevel"/>
    <w:tmpl w:val="A4A4D1E8"/>
    <w:lvl w:ilvl="0" w:tplc="EE8AD67A">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DD5CED"/>
    <w:multiLevelType w:val="hybridMultilevel"/>
    <w:tmpl w:val="47202AA4"/>
    <w:lvl w:ilvl="0" w:tplc="2C9E0A3E">
      <w:start w:val="1"/>
      <w:numFmt w:val="decimal"/>
      <w:lvlText w:val="%1."/>
      <w:lvlJc w:val="left"/>
      <w:pPr>
        <w:ind w:left="720" w:hanging="360"/>
      </w:pPr>
      <w:rPr>
        <w:rFonts w:ascii="Times New Roman" w:eastAsiaTheme="minorHAnsi" w:hAnsi="Times New Roman" w:cs="Times New Roman"/>
        <w:b/>
        <w:bCs/>
      </w:rPr>
    </w:lvl>
    <w:lvl w:ilvl="1" w:tplc="08090003">
      <w:start w:val="1"/>
      <w:numFmt w:val="bullet"/>
      <w:lvlText w:val="o"/>
      <w:lvlJc w:val="left"/>
      <w:pPr>
        <w:ind w:left="1440" w:hanging="360"/>
      </w:pPr>
      <w:rPr>
        <w:rFonts w:ascii="Courier New" w:hAnsi="Courier New" w:cs="Courier New" w:hint="default"/>
      </w:rPr>
    </w:lvl>
    <w:lvl w:ilvl="2" w:tplc="DE82E052">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B716E"/>
    <w:multiLevelType w:val="hybridMultilevel"/>
    <w:tmpl w:val="B5C26E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3"/>
  </w:num>
  <w:num w:numId="4">
    <w:abstractNumId w:val="10"/>
  </w:num>
  <w:num w:numId="5">
    <w:abstractNumId w:val="13"/>
  </w:num>
  <w:num w:numId="6">
    <w:abstractNumId w:val="11"/>
  </w:num>
  <w:num w:numId="7">
    <w:abstractNumId w:val="21"/>
  </w:num>
  <w:num w:numId="8">
    <w:abstractNumId w:val="2"/>
  </w:num>
  <w:num w:numId="9">
    <w:abstractNumId w:val="0"/>
  </w:num>
  <w:num w:numId="10">
    <w:abstractNumId w:val="8"/>
  </w:num>
  <w:num w:numId="11">
    <w:abstractNumId w:val="4"/>
  </w:num>
  <w:num w:numId="12">
    <w:abstractNumId w:val="7"/>
  </w:num>
  <w:num w:numId="13">
    <w:abstractNumId w:val="20"/>
  </w:num>
  <w:num w:numId="14">
    <w:abstractNumId w:val="18"/>
  </w:num>
  <w:num w:numId="15">
    <w:abstractNumId w:val="19"/>
  </w:num>
  <w:num w:numId="16">
    <w:abstractNumId w:val="14"/>
  </w:num>
  <w:num w:numId="17">
    <w:abstractNumId w:val="25"/>
  </w:num>
  <w:num w:numId="18">
    <w:abstractNumId w:val="12"/>
  </w:num>
  <w:num w:numId="19">
    <w:abstractNumId w:val="6"/>
  </w:num>
  <w:num w:numId="20">
    <w:abstractNumId w:val="16"/>
  </w:num>
  <w:num w:numId="21">
    <w:abstractNumId w:val="22"/>
  </w:num>
  <w:num w:numId="22">
    <w:abstractNumId w:val="3"/>
  </w:num>
  <w:num w:numId="23">
    <w:abstractNumId w:val="1"/>
  </w:num>
  <w:num w:numId="24">
    <w:abstractNumId w:val="9"/>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F8"/>
    <w:rsid w:val="0000189C"/>
    <w:rsid w:val="00002CAE"/>
    <w:rsid w:val="00004424"/>
    <w:rsid w:val="0000707A"/>
    <w:rsid w:val="0001482E"/>
    <w:rsid w:val="00020C05"/>
    <w:rsid w:val="00022E7B"/>
    <w:rsid w:val="00033F0F"/>
    <w:rsid w:val="00044E7E"/>
    <w:rsid w:val="000468BF"/>
    <w:rsid w:val="0007118E"/>
    <w:rsid w:val="00071C7A"/>
    <w:rsid w:val="00074680"/>
    <w:rsid w:val="00076A25"/>
    <w:rsid w:val="00093B70"/>
    <w:rsid w:val="000B00D3"/>
    <w:rsid w:val="000B69B3"/>
    <w:rsid w:val="000C01E0"/>
    <w:rsid w:val="000C1BB5"/>
    <w:rsid w:val="000E2E02"/>
    <w:rsid w:val="00103A47"/>
    <w:rsid w:val="0012486B"/>
    <w:rsid w:val="001538D2"/>
    <w:rsid w:val="00170392"/>
    <w:rsid w:val="00191675"/>
    <w:rsid w:val="001916C6"/>
    <w:rsid w:val="001A7583"/>
    <w:rsid w:val="001D1213"/>
    <w:rsid w:val="001E436E"/>
    <w:rsid w:val="001F16BE"/>
    <w:rsid w:val="001F75EE"/>
    <w:rsid w:val="00201937"/>
    <w:rsid w:val="00202059"/>
    <w:rsid w:val="00207930"/>
    <w:rsid w:val="00213EEC"/>
    <w:rsid w:val="00215D2C"/>
    <w:rsid w:val="00220519"/>
    <w:rsid w:val="00221E74"/>
    <w:rsid w:val="002466FE"/>
    <w:rsid w:val="00252B77"/>
    <w:rsid w:val="00264FD5"/>
    <w:rsid w:val="0027023B"/>
    <w:rsid w:val="002741B6"/>
    <w:rsid w:val="00276F81"/>
    <w:rsid w:val="00277FDC"/>
    <w:rsid w:val="0028717F"/>
    <w:rsid w:val="002A05A5"/>
    <w:rsid w:val="002D072A"/>
    <w:rsid w:val="002D226D"/>
    <w:rsid w:val="002D636C"/>
    <w:rsid w:val="002D7ACE"/>
    <w:rsid w:val="002E5AD0"/>
    <w:rsid w:val="002F33FF"/>
    <w:rsid w:val="002F7551"/>
    <w:rsid w:val="003129CA"/>
    <w:rsid w:val="003156C1"/>
    <w:rsid w:val="00320801"/>
    <w:rsid w:val="003250AC"/>
    <w:rsid w:val="00333BE8"/>
    <w:rsid w:val="00360027"/>
    <w:rsid w:val="00363479"/>
    <w:rsid w:val="00383793"/>
    <w:rsid w:val="003919BA"/>
    <w:rsid w:val="00397151"/>
    <w:rsid w:val="003A3098"/>
    <w:rsid w:val="003B108E"/>
    <w:rsid w:val="003B143D"/>
    <w:rsid w:val="003C7269"/>
    <w:rsid w:val="003D1D6C"/>
    <w:rsid w:val="003D3B74"/>
    <w:rsid w:val="003D655E"/>
    <w:rsid w:val="004000EA"/>
    <w:rsid w:val="00400527"/>
    <w:rsid w:val="0040596E"/>
    <w:rsid w:val="00406389"/>
    <w:rsid w:val="0040760A"/>
    <w:rsid w:val="004112A3"/>
    <w:rsid w:val="00420C71"/>
    <w:rsid w:val="00422C78"/>
    <w:rsid w:val="004469A6"/>
    <w:rsid w:val="00452B10"/>
    <w:rsid w:val="00467267"/>
    <w:rsid w:val="0047359B"/>
    <w:rsid w:val="004802A8"/>
    <w:rsid w:val="00480369"/>
    <w:rsid w:val="00486CCF"/>
    <w:rsid w:val="004946D1"/>
    <w:rsid w:val="004B08AF"/>
    <w:rsid w:val="004C1A1C"/>
    <w:rsid w:val="004E4445"/>
    <w:rsid w:val="004E6D37"/>
    <w:rsid w:val="004F6142"/>
    <w:rsid w:val="004F665D"/>
    <w:rsid w:val="0050718B"/>
    <w:rsid w:val="005157A4"/>
    <w:rsid w:val="00522E8A"/>
    <w:rsid w:val="00530D24"/>
    <w:rsid w:val="00554704"/>
    <w:rsid w:val="00556A66"/>
    <w:rsid w:val="005576CE"/>
    <w:rsid w:val="005635F3"/>
    <w:rsid w:val="00567181"/>
    <w:rsid w:val="00574BCE"/>
    <w:rsid w:val="005B280B"/>
    <w:rsid w:val="005B442A"/>
    <w:rsid w:val="005B6EC1"/>
    <w:rsid w:val="005B7A38"/>
    <w:rsid w:val="005C1134"/>
    <w:rsid w:val="005D025C"/>
    <w:rsid w:val="005D67C5"/>
    <w:rsid w:val="005D72BC"/>
    <w:rsid w:val="005E19C3"/>
    <w:rsid w:val="005E646C"/>
    <w:rsid w:val="005F5731"/>
    <w:rsid w:val="00611024"/>
    <w:rsid w:val="00621D10"/>
    <w:rsid w:val="00630A43"/>
    <w:rsid w:val="006472EF"/>
    <w:rsid w:val="006528BD"/>
    <w:rsid w:val="00661BCB"/>
    <w:rsid w:val="0066552E"/>
    <w:rsid w:val="00674976"/>
    <w:rsid w:val="006810DC"/>
    <w:rsid w:val="00683F37"/>
    <w:rsid w:val="006853B1"/>
    <w:rsid w:val="0069142C"/>
    <w:rsid w:val="006A2DE8"/>
    <w:rsid w:val="006A3A5E"/>
    <w:rsid w:val="006A4FB0"/>
    <w:rsid w:val="006B62A3"/>
    <w:rsid w:val="006B6AAA"/>
    <w:rsid w:val="006C4EF3"/>
    <w:rsid w:val="006C6B56"/>
    <w:rsid w:val="006D14AF"/>
    <w:rsid w:val="006D7533"/>
    <w:rsid w:val="006E6635"/>
    <w:rsid w:val="006E6673"/>
    <w:rsid w:val="007012CC"/>
    <w:rsid w:val="00706803"/>
    <w:rsid w:val="00706D5C"/>
    <w:rsid w:val="00730436"/>
    <w:rsid w:val="00731CFB"/>
    <w:rsid w:val="0073597B"/>
    <w:rsid w:val="00735E0C"/>
    <w:rsid w:val="00742408"/>
    <w:rsid w:val="0075515C"/>
    <w:rsid w:val="007623E8"/>
    <w:rsid w:val="007655D1"/>
    <w:rsid w:val="0076795F"/>
    <w:rsid w:val="00767F79"/>
    <w:rsid w:val="0077164B"/>
    <w:rsid w:val="00775F26"/>
    <w:rsid w:val="00793200"/>
    <w:rsid w:val="00794EE7"/>
    <w:rsid w:val="007A7F18"/>
    <w:rsid w:val="007B46C0"/>
    <w:rsid w:val="007C433B"/>
    <w:rsid w:val="007C79B6"/>
    <w:rsid w:val="007D7462"/>
    <w:rsid w:val="007E58CB"/>
    <w:rsid w:val="00802B25"/>
    <w:rsid w:val="00815ADB"/>
    <w:rsid w:val="00845DD2"/>
    <w:rsid w:val="008525FC"/>
    <w:rsid w:val="008556B6"/>
    <w:rsid w:val="00857F2B"/>
    <w:rsid w:val="008601AD"/>
    <w:rsid w:val="0086088B"/>
    <w:rsid w:val="00871418"/>
    <w:rsid w:val="0088540A"/>
    <w:rsid w:val="008908C3"/>
    <w:rsid w:val="00892259"/>
    <w:rsid w:val="008A3D6A"/>
    <w:rsid w:val="008A5C66"/>
    <w:rsid w:val="008C1857"/>
    <w:rsid w:val="008C557E"/>
    <w:rsid w:val="008D6CDD"/>
    <w:rsid w:val="008E3FCF"/>
    <w:rsid w:val="008E48E0"/>
    <w:rsid w:val="008E6C00"/>
    <w:rsid w:val="00911332"/>
    <w:rsid w:val="00934259"/>
    <w:rsid w:val="00934C03"/>
    <w:rsid w:val="00942A47"/>
    <w:rsid w:val="00962721"/>
    <w:rsid w:val="00970CA5"/>
    <w:rsid w:val="00997E16"/>
    <w:rsid w:val="009A3F96"/>
    <w:rsid w:val="009A5BD0"/>
    <w:rsid w:val="009D4202"/>
    <w:rsid w:val="009D5CFD"/>
    <w:rsid w:val="009E1C7D"/>
    <w:rsid w:val="009E1F54"/>
    <w:rsid w:val="009F630A"/>
    <w:rsid w:val="009F79E9"/>
    <w:rsid w:val="00A01150"/>
    <w:rsid w:val="00A021F0"/>
    <w:rsid w:val="00A02CF3"/>
    <w:rsid w:val="00A11B65"/>
    <w:rsid w:val="00A15F45"/>
    <w:rsid w:val="00A318AD"/>
    <w:rsid w:val="00A3651B"/>
    <w:rsid w:val="00A46137"/>
    <w:rsid w:val="00A46AB5"/>
    <w:rsid w:val="00A76A25"/>
    <w:rsid w:val="00A82C36"/>
    <w:rsid w:val="00A8456F"/>
    <w:rsid w:val="00A96F30"/>
    <w:rsid w:val="00AA23EC"/>
    <w:rsid w:val="00AA4507"/>
    <w:rsid w:val="00AA477D"/>
    <w:rsid w:val="00AA7AD0"/>
    <w:rsid w:val="00AB6293"/>
    <w:rsid w:val="00AB7771"/>
    <w:rsid w:val="00AB7900"/>
    <w:rsid w:val="00AC7264"/>
    <w:rsid w:val="00AD3254"/>
    <w:rsid w:val="00AD7EF1"/>
    <w:rsid w:val="00AE42FE"/>
    <w:rsid w:val="00AE4930"/>
    <w:rsid w:val="00AE4E7C"/>
    <w:rsid w:val="00AE75AB"/>
    <w:rsid w:val="00B026F8"/>
    <w:rsid w:val="00B16CE8"/>
    <w:rsid w:val="00B17B80"/>
    <w:rsid w:val="00B23975"/>
    <w:rsid w:val="00B25658"/>
    <w:rsid w:val="00B25F4E"/>
    <w:rsid w:val="00B34075"/>
    <w:rsid w:val="00B44D6D"/>
    <w:rsid w:val="00B61529"/>
    <w:rsid w:val="00B61674"/>
    <w:rsid w:val="00B635FC"/>
    <w:rsid w:val="00B728E8"/>
    <w:rsid w:val="00B827DE"/>
    <w:rsid w:val="00B90979"/>
    <w:rsid w:val="00B94F62"/>
    <w:rsid w:val="00BA2A0A"/>
    <w:rsid w:val="00BB45A4"/>
    <w:rsid w:val="00BB5528"/>
    <w:rsid w:val="00BD6323"/>
    <w:rsid w:val="00BD7585"/>
    <w:rsid w:val="00BE1B18"/>
    <w:rsid w:val="00BE73E3"/>
    <w:rsid w:val="00C05CE4"/>
    <w:rsid w:val="00C1669D"/>
    <w:rsid w:val="00C17A01"/>
    <w:rsid w:val="00C20227"/>
    <w:rsid w:val="00C3739D"/>
    <w:rsid w:val="00C37A47"/>
    <w:rsid w:val="00C404B5"/>
    <w:rsid w:val="00C41E43"/>
    <w:rsid w:val="00C42093"/>
    <w:rsid w:val="00C55A7A"/>
    <w:rsid w:val="00C64839"/>
    <w:rsid w:val="00C674FC"/>
    <w:rsid w:val="00C74041"/>
    <w:rsid w:val="00C84322"/>
    <w:rsid w:val="00C85933"/>
    <w:rsid w:val="00C861A3"/>
    <w:rsid w:val="00C900BD"/>
    <w:rsid w:val="00C91DA8"/>
    <w:rsid w:val="00C94635"/>
    <w:rsid w:val="00CA0067"/>
    <w:rsid w:val="00CA3362"/>
    <w:rsid w:val="00CB32D7"/>
    <w:rsid w:val="00CB3EEB"/>
    <w:rsid w:val="00D1591D"/>
    <w:rsid w:val="00D2009A"/>
    <w:rsid w:val="00D33263"/>
    <w:rsid w:val="00D55FBF"/>
    <w:rsid w:val="00D56EB6"/>
    <w:rsid w:val="00D6097D"/>
    <w:rsid w:val="00DA134C"/>
    <w:rsid w:val="00DA6FC0"/>
    <w:rsid w:val="00DB21DB"/>
    <w:rsid w:val="00DB4F02"/>
    <w:rsid w:val="00DC4761"/>
    <w:rsid w:val="00DC7C51"/>
    <w:rsid w:val="00DD25CB"/>
    <w:rsid w:val="00DF5954"/>
    <w:rsid w:val="00E073F4"/>
    <w:rsid w:val="00E103BE"/>
    <w:rsid w:val="00E13D3D"/>
    <w:rsid w:val="00E14639"/>
    <w:rsid w:val="00E146AC"/>
    <w:rsid w:val="00E157C7"/>
    <w:rsid w:val="00E16815"/>
    <w:rsid w:val="00E21EB8"/>
    <w:rsid w:val="00E2287E"/>
    <w:rsid w:val="00E25D80"/>
    <w:rsid w:val="00E320DB"/>
    <w:rsid w:val="00E43AC8"/>
    <w:rsid w:val="00E45CDC"/>
    <w:rsid w:val="00E661AF"/>
    <w:rsid w:val="00E71F70"/>
    <w:rsid w:val="00E80777"/>
    <w:rsid w:val="00E87383"/>
    <w:rsid w:val="00EC0439"/>
    <w:rsid w:val="00EC0937"/>
    <w:rsid w:val="00EC2A49"/>
    <w:rsid w:val="00EC742A"/>
    <w:rsid w:val="00ED1289"/>
    <w:rsid w:val="00ED55F0"/>
    <w:rsid w:val="00F033BB"/>
    <w:rsid w:val="00F0496C"/>
    <w:rsid w:val="00F31649"/>
    <w:rsid w:val="00F41026"/>
    <w:rsid w:val="00F44C34"/>
    <w:rsid w:val="00F51DB0"/>
    <w:rsid w:val="00F576CF"/>
    <w:rsid w:val="00F64C06"/>
    <w:rsid w:val="00F823AB"/>
    <w:rsid w:val="00F82470"/>
    <w:rsid w:val="00F849C7"/>
    <w:rsid w:val="00F87A46"/>
    <w:rsid w:val="00F95715"/>
    <w:rsid w:val="00FD16A5"/>
    <w:rsid w:val="00FD43F4"/>
    <w:rsid w:val="00FF4E7A"/>
    <w:rsid w:val="00FF72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FB0D"/>
  <w15:chartTrackingRefBased/>
  <w15:docId w15:val="{5B2AB182-3990-4111-801D-F017A87C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62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12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46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46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EC1"/>
    <w:pPr>
      <w:ind w:left="720"/>
      <w:contextualSpacing/>
    </w:pPr>
  </w:style>
  <w:style w:type="character" w:styleId="Hyperlink">
    <w:name w:val="Hyperlink"/>
    <w:basedOn w:val="DefaultParagraphFont"/>
    <w:uiPriority w:val="99"/>
    <w:unhideWhenUsed/>
    <w:rsid w:val="002741B6"/>
    <w:rPr>
      <w:color w:val="0563C1" w:themeColor="hyperlink"/>
      <w:u w:val="single"/>
    </w:rPr>
  </w:style>
  <w:style w:type="character" w:customStyle="1" w:styleId="Heading2Char">
    <w:name w:val="Heading 2 Char"/>
    <w:basedOn w:val="DefaultParagraphFont"/>
    <w:link w:val="Heading2"/>
    <w:uiPriority w:val="9"/>
    <w:rsid w:val="004112A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9463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9463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360027"/>
    <w:rPr>
      <w:sz w:val="16"/>
      <w:szCs w:val="16"/>
    </w:rPr>
  </w:style>
  <w:style w:type="paragraph" w:styleId="CommentText">
    <w:name w:val="annotation text"/>
    <w:basedOn w:val="Normal"/>
    <w:link w:val="CommentTextChar"/>
    <w:uiPriority w:val="99"/>
    <w:semiHidden/>
    <w:unhideWhenUsed/>
    <w:rsid w:val="00360027"/>
    <w:pPr>
      <w:spacing w:line="240" w:lineRule="auto"/>
    </w:pPr>
    <w:rPr>
      <w:sz w:val="20"/>
      <w:szCs w:val="20"/>
    </w:rPr>
  </w:style>
  <w:style w:type="character" w:customStyle="1" w:styleId="CommentTextChar">
    <w:name w:val="Comment Text Char"/>
    <w:basedOn w:val="DefaultParagraphFont"/>
    <w:link w:val="CommentText"/>
    <w:uiPriority w:val="99"/>
    <w:semiHidden/>
    <w:rsid w:val="00360027"/>
    <w:rPr>
      <w:sz w:val="20"/>
      <w:szCs w:val="20"/>
    </w:rPr>
  </w:style>
  <w:style w:type="paragraph" w:styleId="CommentSubject">
    <w:name w:val="annotation subject"/>
    <w:basedOn w:val="CommentText"/>
    <w:next w:val="CommentText"/>
    <w:link w:val="CommentSubjectChar"/>
    <w:uiPriority w:val="99"/>
    <w:semiHidden/>
    <w:unhideWhenUsed/>
    <w:rsid w:val="00360027"/>
    <w:rPr>
      <w:b/>
      <w:bCs/>
    </w:rPr>
  </w:style>
  <w:style w:type="character" w:customStyle="1" w:styleId="CommentSubjectChar">
    <w:name w:val="Comment Subject Char"/>
    <w:basedOn w:val="CommentTextChar"/>
    <w:link w:val="CommentSubject"/>
    <w:uiPriority w:val="99"/>
    <w:semiHidden/>
    <w:rsid w:val="00360027"/>
    <w:rPr>
      <w:b/>
      <w:bCs/>
      <w:sz w:val="20"/>
      <w:szCs w:val="20"/>
    </w:rPr>
  </w:style>
  <w:style w:type="paragraph" w:styleId="BalloonText">
    <w:name w:val="Balloon Text"/>
    <w:basedOn w:val="Normal"/>
    <w:link w:val="BalloonTextChar"/>
    <w:uiPriority w:val="99"/>
    <w:semiHidden/>
    <w:unhideWhenUsed/>
    <w:rsid w:val="003600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0027"/>
    <w:rPr>
      <w:rFonts w:ascii="Times New Roman" w:hAnsi="Times New Roman" w:cs="Times New Roman"/>
      <w:sz w:val="18"/>
      <w:szCs w:val="18"/>
    </w:rPr>
  </w:style>
  <w:style w:type="paragraph" w:styleId="Footer">
    <w:name w:val="footer"/>
    <w:basedOn w:val="Normal"/>
    <w:link w:val="FooterChar"/>
    <w:uiPriority w:val="99"/>
    <w:unhideWhenUsed/>
    <w:rsid w:val="00C5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7A"/>
  </w:style>
  <w:style w:type="character" w:styleId="PageNumber">
    <w:name w:val="page number"/>
    <w:basedOn w:val="DefaultParagraphFont"/>
    <w:uiPriority w:val="99"/>
    <w:semiHidden/>
    <w:unhideWhenUsed/>
    <w:rsid w:val="00C55A7A"/>
  </w:style>
  <w:style w:type="character" w:customStyle="1" w:styleId="Heading1Char">
    <w:name w:val="Heading 1 Char"/>
    <w:basedOn w:val="DefaultParagraphFont"/>
    <w:link w:val="Heading1"/>
    <w:uiPriority w:val="9"/>
    <w:rsid w:val="006B62A3"/>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11332"/>
    <w:rPr>
      <w:color w:val="954F72" w:themeColor="followedHyperlink"/>
      <w:u w:val="single"/>
    </w:rPr>
  </w:style>
  <w:style w:type="paragraph" w:styleId="Revision">
    <w:name w:val="Revision"/>
    <w:hidden/>
    <w:uiPriority w:val="99"/>
    <w:semiHidden/>
    <w:rsid w:val="00AE4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483523">
      <w:bodyDiv w:val="1"/>
      <w:marLeft w:val="0"/>
      <w:marRight w:val="0"/>
      <w:marTop w:val="0"/>
      <w:marBottom w:val="0"/>
      <w:divBdr>
        <w:top w:val="none" w:sz="0" w:space="0" w:color="auto"/>
        <w:left w:val="none" w:sz="0" w:space="0" w:color="auto"/>
        <w:bottom w:val="none" w:sz="0" w:space="0" w:color="auto"/>
        <w:right w:val="none" w:sz="0" w:space="0" w:color="auto"/>
      </w:divBdr>
    </w:div>
    <w:div w:id="17629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CRPD/Pages/ConventionRightsPersonsWithDisabilities.aspx" TargetMode="External"/><Relationship Id="rId18" Type="http://schemas.openxmlformats.org/officeDocument/2006/relationships/hyperlink" Target="https://www.internationaldisabilityallianc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CRPD/Pages/CRPDIndex.aspx" TargetMode="External"/><Relationship Id="rId17" Type="http://schemas.openxmlformats.org/officeDocument/2006/relationships/hyperlink" Target="mailto:crpd@ohchr.org" TargetMode="External"/><Relationship Id="rId2" Type="http://schemas.openxmlformats.org/officeDocument/2006/relationships/customXml" Target="../customXml/item2.xml"/><Relationship Id="rId16" Type="http://schemas.openxmlformats.org/officeDocument/2006/relationships/hyperlink" Target="mailto:crpd@ohchr.org"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HRBodies/CRPD/Pages/CRPDIndex.aspx" TargetMode="External"/><Relationship Id="rId5" Type="http://schemas.openxmlformats.org/officeDocument/2006/relationships/numbering" Target="numbering.xml"/><Relationship Id="rId15" Type="http://schemas.openxmlformats.org/officeDocument/2006/relationships/hyperlink" Target="https://tbinternet.ohchr.org/_layouts/15/treatybodyexternal/Download.aspx?symbolno=A/72/55&amp;Lang=en"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binternet.ohchr.org/_layouts/15/treatybodyexternal/Download.aspx?symbolno=CRPD%2fC%2fGC%2f5&amp;Lang=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196AE-B958-40CB-BD59-3B21E5531092}">
  <ds:schemaRefs>
    <ds:schemaRef ds:uri="ab96a043-8ff1-4762-add4-7613ae9839f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8f99c06-dc64-4ad0-a4b1-77603161b6e0"/>
    <ds:schemaRef ds:uri="http://www.w3.org/XML/1998/namespace"/>
    <ds:schemaRef ds:uri="http://purl.org/dc/dcmitype/"/>
  </ds:schemaRefs>
</ds:datastoreItem>
</file>

<file path=customXml/itemProps2.xml><?xml version="1.0" encoding="utf-8"?>
<ds:datastoreItem xmlns:ds="http://schemas.openxmlformats.org/officeDocument/2006/customXml" ds:itemID="{570A06A9-CFFF-46AF-97DC-941B593A27CC}">
  <ds:schemaRefs>
    <ds:schemaRef ds:uri="http://schemas.microsoft.com/sharepoint/v3/contenttype/forms"/>
  </ds:schemaRefs>
</ds:datastoreItem>
</file>

<file path=customXml/itemProps3.xml><?xml version="1.0" encoding="utf-8"?>
<ds:datastoreItem xmlns:ds="http://schemas.openxmlformats.org/officeDocument/2006/customXml" ds:itemID="{ABBE4AC5-4E6A-4FD3-98C8-D8AD4C22CA39}"/>
</file>

<file path=customXml/itemProps4.xml><?xml version="1.0" encoding="utf-8"?>
<ds:datastoreItem xmlns:ds="http://schemas.openxmlformats.org/officeDocument/2006/customXml" ds:itemID="{756C7908-B58D-4FF6-8D19-BA90E8C9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2257</Words>
  <Characters>12871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ARAYA</dc:creator>
  <cp:keywords/>
  <dc:description/>
  <cp:lastModifiedBy>OUKO Robert</cp:lastModifiedBy>
  <cp:revision>2</cp:revision>
  <dcterms:created xsi:type="dcterms:W3CDTF">2021-01-25T15:49:00Z</dcterms:created>
  <dcterms:modified xsi:type="dcterms:W3CDTF">2021-01-25T15:49:00Z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