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173D1" w14:textId="1A56259B" w:rsidR="00A61F51" w:rsidRDefault="00223C57" w:rsidP="00A61F51">
      <w:pPr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757A224" wp14:editId="6A98B4C9">
            <wp:simplePos x="0" y="0"/>
            <wp:positionH relativeFrom="column">
              <wp:posOffset>2835910</wp:posOffset>
            </wp:positionH>
            <wp:positionV relativeFrom="paragraph">
              <wp:posOffset>8255</wp:posOffset>
            </wp:positionV>
            <wp:extent cx="1635983" cy="136525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983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172" w:rsidRPr="006A2163">
        <w:rPr>
          <w:rFonts w:ascii="Calibri" w:eastAsia="Times New Roman" w:hAnsi="Calibri" w:cs="Calibri"/>
          <w:noProof/>
          <w:color w:val="000000"/>
          <w:sz w:val="22"/>
          <w:szCs w:val="22"/>
          <w:lang w:val="en-US" w:eastAsia="en-GB"/>
        </w:rPr>
        <w:drawing>
          <wp:anchor distT="0" distB="0" distL="114300" distR="114300" simplePos="0" relativeHeight="251659264" behindDoc="0" locked="0" layoutInCell="1" allowOverlap="1" wp14:anchorId="303F3B1C" wp14:editId="20BC2FFA">
            <wp:simplePos x="0" y="0"/>
            <wp:positionH relativeFrom="margin">
              <wp:posOffset>4462780</wp:posOffset>
            </wp:positionH>
            <wp:positionV relativeFrom="paragraph">
              <wp:posOffset>8255</wp:posOffset>
            </wp:positionV>
            <wp:extent cx="1699895" cy="10922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14D71E" w14:textId="0042D2EC" w:rsidR="00A61F51" w:rsidRDefault="00223C57" w:rsidP="00A61F51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E4E8F08" wp14:editId="0C632755">
            <wp:simplePos x="0" y="0"/>
            <wp:positionH relativeFrom="column">
              <wp:posOffset>1117600</wp:posOffset>
            </wp:positionH>
            <wp:positionV relativeFrom="paragraph">
              <wp:posOffset>95250</wp:posOffset>
            </wp:positionV>
            <wp:extent cx="1563370" cy="8445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51A9">
        <w:rPr>
          <w:noProof/>
        </w:rPr>
        <w:drawing>
          <wp:anchor distT="0" distB="0" distL="114300" distR="114300" simplePos="0" relativeHeight="251660288" behindDoc="1" locked="0" layoutInCell="1" allowOverlap="1" wp14:anchorId="0C090465" wp14:editId="1A4DFEB9">
            <wp:simplePos x="0" y="0"/>
            <wp:positionH relativeFrom="margin">
              <wp:posOffset>-736600</wp:posOffset>
            </wp:positionH>
            <wp:positionV relativeFrom="paragraph">
              <wp:posOffset>120650</wp:posOffset>
            </wp:positionV>
            <wp:extent cx="1780540" cy="882650"/>
            <wp:effectExtent l="0" t="0" r="0" b="0"/>
            <wp:wrapNone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D6A99" w14:textId="118B9DBA" w:rsidR="00A61F51" w:rsidRPr="005C7702" w:rsidRDefault="00A61F51" w:rsidP="00A61F51">
      <w:pPr>
        <w:jc w:val="center"/>
        <w:rPr>
          <w:sz w:val="22"/>
          <w:szCs w:val="22"/>
        </w:rPr>
      </w:pPr>
    </w:p>
    <w:p w14:paraId="746CDF45" w14:textId="73068822" w:rsidR="007E1D92" w:rsidRDefault="007E1D92" w:rsidP="008B11D8">
      <w:pPr>
        <w:tabs>
          <w:tab w:val="left" w:pos="3456"/>
        </w:tabs>
      </w:pPr>
    </w:p>
    <w:p w14:paraId="0559D486" w14:textId="1B6C65DC" w:rsidR="007E1D92" w:rsidRDefault="007E1D92"/>
    <w:p w14:paraId="7BE6BF14" w14:textId="1DAC0C8E" w:rsidR="007E1D92" w:rsidRDefault="007E1D92"/>
    <w:p w14:paraId="0B98021C" w14:textId="161D387A" w:rsidR="00A61F51" w:rsidRDefault="00A61F51" w:rsidP="00495091">
      <w:pPr>
        <w:pStyle w:val="Header"/>
        <w:jc w:val="center"/>
        <w:rPr>
          <w:rFonts w:ascii="Helvetica" w:hAnsi="Helvetica"/>
          <w:sz w:val="28"/>
          <w:szCs w:val="28"/>
        </w:rPr>
      </w:pPr>
    </w:p>
    <w:p w14:paraId="4775EE4F" w14:textId="31657F7C" w:rsidR="00A61F51" w:rsidRDefault="00A61F51" w:rsidP="00495091">
      <w:pPr>
        <w:pStyle w:val="Header"/>
        <w:jc w:val="center"/>
        <w:rPr>
          <w:rFonts w:ascii="Helvetica" w:hAnsi="Helvetica"/>
          <w:sz w:val="28"/>
          <w:szCs w:val="28"/>
        </w:rPr>
      </w:pPr>
      <w:bookmarkStart w:id="0" w:name="_Hlk105621025"/>
      <w:bookmarkEnd w:id="0"/>
    </w:p>
    <w:p w14:paraId="1E4EC3FC" w14:textId="6195B60D" w:rsidR="00495091" w:rsidRPr="00495091" w:rsidRDefault="00495091" w:rsidP="00495091">
      <w:pPr>
        <w:pStyle w:val="Header"/>
        <w:jc w:val="center"/>
        <w:rPr>
          <w:rFonts w:ascii="Helvetica" w:hAnsi="Helvetica"/>
          <w:sz w:val="28"/>
          <w:szCs w:val="28"/>
        </w:rPr>
      </w:pPr>
      <w:r w:rsidRPr="00495091">
        <w:rPr>
          <w:rFonts w:ascii="Helvetica" w:hAnsi="Helvetica"/>
          <w:sz w:val="28"/>
          <w:szCs w:val="28"/>
        </w:rPr>
        <w:t>15th Conference of State Parties (COSP) to the Convention on the Rights of Persons with Disabilities (CRPD)</w:t>
      </w:r>
    </w:p>
    <w:p w14:paraId="6C6A72C8" w14:textId="77777777" w:rsidR="00495091" w:rsidRPr="00495091" w:rsidRDefault="00495091">
      <w:pPr>
        <w:rPr>
          <w:rFonts w:ascii="Helvetica" w:hAnsi="Helvetica"/>
          <w:sz w:val="32"/>
          <w:szCs w:val="32"/>
        </w:rPr>
      </w:pPr>
    </w:p>
    <w:p w14:paraId="6F77C40C" w14:textId="553A3417" w:rsidR="007E1D92" w:rsidRPr="00495091" w:rsidRDefault="00495091" w:rsidP="00495091">
      <w:pPr>
        <w:pStyle w:val="Heading2"/>
        <w:shd w:val="clear" w:color="auto" w:fill="BDD6EE" w:themeFill="accent5" w:themeFillTint="66"/>
        <w:jc w:val="center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 xml:space="preserve">CONCEPT NOTE – </w:t>
      </w:r>
      <w:r w:rsidR="007E1D92" w:rsidRPr="007E1D92">
        <w:rPr>
          <w:rFonts w:ascii="Helvetica" w:hAnsi="Helvetica"/>
          <w:b/>
          <w:bCs/>
          <w:lang w:val="en-US"/>
        </w:rPr>
        <w:t>PACIFIC SIDE EVENT</w:t>
      </w:r>
    </w:p>
    <w:p w14:paraId="4EBB23BB" w14:textId="3628E95C" w:rsidR="007E1D92" w:rsidRDefault="007E1D92" w:rsidP="007E1D92">
      <w:pPr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en-GB"/>
        </w:rPr>
      </w:pPr>
    </w:p>
    <w:p w14:paraId="5A8D3D8B" w14:textId="1E9E882F" w:rsidR="00B42230" w:rsidRPr="00CD4C5D" w:rsidRDefault="003613E6" w:rsidP="007E1D92">
      <w:pPr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val="en-US" w:eastAsia="en-GB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val="en-US" w:eastAsia="en-GB"/>
        </w:rPr>
        <w:t xml:space="preserve">Date and Time: </w:t>
      </w:r>
      <w:r w:rsidR="00B42230" w:rsidRPr="00340D4B"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>Monday 13</w:t>
      </w:r>
      <w:r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 xml:space="preserve"> </w:t>
      </w:r>
      <w:r w:rsidR="00B42230" w:rsidRPr="00A61F51"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>June 6.00</w:t>
      </w:r>
      <w:r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 xml:space="preserve"> </w:t>
      </w:r>
      <w:r w:rsidR="00B42230" w:rsidRPr="00A61F51"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>– 7.15pm (</w:t>
      </w:r>
      <w:r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>EST</w:t>
      </w:r>
      <w:r w:rsidR="00B42230" w:rsidRPr="00A61F51"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>)</w:t>
      </w:r>
      <w:r w:rsidR="00A61F51"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 xml:space="preserve"> </w:t>
      </w:r>
      <w:r w:rsidRPr="00340D4B"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>/ Tuesday 14</w:t>
      </w:r>
      <w:r>
        <w:rPr>
          <w:rFonts w:ascii="Calibri" w:eastAsia="Times New Roman" w:hAnsi="Calibri" w:cs="Calibri"/>
          <w:color w:val="000000"/>
          <w:sz w:val="22"/>
          <w:szCs w:val="22"/>
          <w:vertAlign w:val="superscript"/>
          <w:lang w:val="en-US" w:eastAsia="en-GB"/>
        </w:rPr>
        <w:t xml:space="preserve"> </w:t>
      </w:r>
      <w:r w:rsidRPr="00340D4B"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>June</w:t>
      </w:r>
      <w:r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 xml:space="preserve"> 10.00 </w:t>
      </w:r>
      <w:r w:rsidRPr="00F92A04"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>–</w:t>
      </w:r>
      <w:r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 xml:space="preserve"> 11.15 am (F</w:t>
      </w:r>
      <w:r w:rsidR="00A61F51"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>ST</w:t>
      </w:r>
      <w:r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>)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GB"/>
        </w:rPr>
        <w:t xml:space="preserve"> </w:t>
      </w:r>
    </w:p>
    <w:p w14:paraId="0853D271" w14:textId="42DB4040" w:rsidR="00340D4B" w:rsidRDefault="00392B74" w:rsidP="00340D4B">
      <w:pPr>
        <w:spacing w:before="120"/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</w:pPr>
      <w:r w:rsidRPr="00CD4C5D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val="en-US" w:eastAsia="en-GB"/>
        </w:rPr>
        <w:t xml:space="preserve">Location: </w:t>
      </w:r>
      <w:r w:rsidR="003613E6" w:rsidRPr="00A61F51"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>Virtual</w:t>
      </w:r>
      <w:r w:rsidR="00340D4B"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 xml:space="preserve"> event (Zoom) </w:t>
      </w:r>
    </w:p>
    <w:p w14:paraId="47E3CF2B" w14:textId="5842C504" w:rsidR="00B42230" w:rsidRPr="00B42230" w:rsidRDefault="00BB7E8A" w:rsidP="005A36B9">
      <w:pPr>
        <w:spacing w:before="120"/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val="en-US" w:eastAsia="en-GB"/>
        </w:rPr>
      </w:pPr>
      <w:bookmarkStart w:id="1" w:name="_Hlk105620964"/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GB"/>
        </w:rPr>
        <w:t>R</w:t>
      </w:r>
      <w:r w:rsidR="00340D4B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GB"/>
        </w:rPr>
        <w:t>egis</w:t>
      </w:r>
      <w:r w:rsidR="001925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GB"/>
        </w:rPr>
        <w:t xml:space="preserve">ter for meeting </w:t>
      </w:r>
      <w:hyperlink r:id="rId12" w:history="1">
        <w:r w:rsidR="001925F3" w:rsidRPr="001925F3">
          <w:rPr>
            <w:rStyle w:val="Hyperlink"/>
            <w:rFonts w:ascii="Calibri" w:eastAsia="Times New Roman" w:hAnsi="Calibri" w:cs="Calibri"/>
            <w:b/>
            <w:bCs/>
            <w:sz w:val="22"/>
            <w:szCs w:val="22"/>
            <w:lang w:val="en-US" w:eastAsia="en-GB"/>
          </w:rPr>
          <w:t>here</w:t>
        </w:r>
      </w:hyperlink>
      <w:r w:rsidR="003613E6"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 xml:space="preserve"> </w:t>
      </w:r>
      <w:bookmarkEnd w:id="1"/>
    </w:p>
    <w:p w14:paraId="4B2FE72A" w14:textId="77777777" w:rsidR="003613E6" w:rsidRDefault="003613E6" w:rsidP="001B0D8E">
      <w:pPr>
        <w:rPr>
          <w:rFonts w:ascii="Calibri" w:eastAsia="Times New Roman" w:hAnsi="Calibri" w:cs="Calibri"/>
          <w:b/>
          <w:bCs/>
          <w:i/>
          <w:iCs/>
          <w:color w:val="000000"/>
          <w:lang w:val="en-US" w:eastAsia="en-GB"/>
        </w:rPr>
      </w:pPr>
    </w:p>
    <w:p w14:paraId="6B697765" w14:textId="09298922" w:rsidR="00392B74" w:rsidRDefault="00392B74" w:rsidP="007E1D92">
      <w:pP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 xml:space="preserve">The Government of Australia and the Pacific Disability </w:t>
      </w:r>
      <w:r w:rsidR="00340D4B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Forum kindly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 xml:space="preserve"> invite </w:t>
      </w:r>
      <w:r w:rsidR="00340D4B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 xml:space="preserve">delegates 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and civil society organisations attending the 15</w:t>
      </w:r>
      <w:r w:rsidRPr="00CD4C5D">
        <w:rPr>
          <w:rFonts w:ascii="Calibri" w:eastAsia="Times New Roman" w:hAnsi="Calibri" w:cs="Calibri"/>
          <w:b/>
          <w:bCs/>
          <w:i/>
          <w:iCs/>
          <w:color w:val="000000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 xml:space="preserve"> Conference of States Parties to the CRPD</w:t>
      </w:r>
      <w:r w:rsidR="00340D4B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, and other interested parties,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 xml:space="preserve"> to a </w:t>
      </w:r>
      <w:r w:rsidR="008C67CB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panel discussion on the economic empowerment of persons with disabilities in the context of COVID-19 recovery in the Pacific.</w:t>
      </w:r>
    </w:p>
    <w:p w14:paraId="5739E161" w14:textId="6288240C" w:rsidR="003613E6" w:rsidRDefault="003613E6" w:rsidP="007E1D92">
      <w:pP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</w:pPr>
    </w:p>
    <w:p w14:paraId="59E46CC8" w14:textId="2ADEBD25" w:rsidR="003613E6" w:rsidRDefault="003613E6" w:rsidP="003613E6">
      <w:pPr>
        <w:rPr>
          <w:rFonts w:ascii="Calibri" w:eastAsia="Times New Roman" w:hAnsi="Calibri" w:cs="Calibri"/>
          <w:i/>
          <w:iCs/>
          <w:color w:val="000000"/>
          <w:sz w:val="22"/>
          <w:szCs w:val="22"/>
          <w:lang w:val="en-US" w:eastAsia="en-GB"/>
        </w:rPr>
      </w:pPr>
      <w:r>
        <w:rPr>
          <w:rFonts w:ascii="Calibri" w:eastAsia="Times New Roman" w:hAnsi="Calibri" w:cs="Calibri"/>
          <w:i/>
          <w:iCs/>
          <w:color w:val="000000"/>
          <w:sz w:val="22"/>
          <w:szCs w:val="22"/>
          <w:lang w:val="en-US" w:eastAsia="en-GB"/>
        </w:rPr>
        <w:t>C</w:t>
      </w:r>
      <w:r w:rsidRPr="003613E6">
        <w:rPr>
          <w:rFonts w:ascii="Calibri" w:eastAsia="Times New Roman" w:hAnsi="Calibri" w:cs="Calibri"/>
          <w:i/>
          <w:iCs/>
          <w:color w:val="000000"/>
          <w:sz w:val="22"/>
          <w:szCs w:val="22"/>
          <w:lang w:val="en-US" w:eastAsia="en-GB"/>
        </w:rPr>
        <w:t>o-sponsor</w:t>
      </w:r>
      <w:r w:rsidR="00340D4B">
        <w:rPr>
          <w:rFonts w:ascii="Calibri" w:eastAsia="Times New Roman" w:hAnsi="Calibri" w:cs="Calibri"/>
          <w:i/>
          <w:iCs/>
          <w:color w:val="000000"/>
          <w:sz w:val="22"/>
          <w:szCs w:val="22"/>
          <w:lang w:val="en-US" w:eastAsia="en-GB"/>
        </w:rPr>
        <w:t>s</w:t>
      </w:r>
      <w:r w:rsidRPr="003613E6">
        <w:rPr>
          <w:rFonts w:ascii="Calibri" w:eastAsia="Times New Roman" w:hAnsi="Calibri" w:cs="Calibri"/>
          <w:i/>
          <w:iCs/>
          <w:color w:val="000000"/>
          <w:sz w:val="22"/>
          <w:szCs w:val="22"/>
          <w:lang w:val="en-US" w:eastAsia="en-GB"/>
        </w:rPr>
        <w:t xml:space="preserve"> of the </w:t>
      </w:r>
      <w:r w:rsidRPr="00A61F51">
        <w:rPr>
          <w:rFonts w:ascii="Calibri" w:eastAsia="Times New Roman" w:hAnsi="Calibri" w:cs="Calibri"/>
          <w:i/>
          <w:iCs/>
          <w:color w:val="000000"/>
          <w:sz w:val="22"/>
          <w:szCs w:val="22"/>
          <w:lang w:val="en-US" w:eastAsia="en-GB"/>
        </w:rPr>
        <w:t>event are</w:t>
      </w:r>
      <w:r w:rsidR="00E835E9">
        <w:rPr>
          <w:rFonts w:ascii="Calibri" w:eastAsia="Times New Roman" w:hAnsi="Calibri" w:cs="Calibri"/>
          <w:i/>
          <w:iCs/>
          <w:color w:val="000000"/>
          <w:sz w:val="22"/>
          <w:szCs w:val="22"/>
          <w:lang w:val="en-US" w:eastAsia="en-GB"/>
        </w:rPr>
        <w:t xml:space="preserve"> the New Zealand Ministry of Foreign Affairs and Trade,</w:t>
      </w:r>
      <w:r w:rsidRPr="00A61F51">
        <w:rPr>
          <w:rFonts w:ascii="Calibri" w:eastAsia="Times New Roman" w:hAnsi="Calibri" w:cs="Calibri"/>
          <w:i/>
          <w:iCs/>
          <w:color w:val="000000"/>
          <w:sz w:val="22"/>
          <w:szCs w:val="22"/>
          <w:lang w:val="en-US" w:eastAsia="en-GB"/>
        </w:rPr>
        <w:t xml:space="preserve"> CBM Australia</w:t>
      </w:r>
      <w:r w:rsidR="00A61F51" w:rsidRPr="00A61F51">
        <w:rPr>
          <w:rFonts w:ascii="Calibri" w:eastAsia="Times New Roman" w:hAnsi="Calibri" w:cs="Calibri"/>
          <w:i/>
          <w:iCs/>
          <w:color w:val="000000"/>
          <w:sz w:val="22"/>
          <w:szCs w:val="22"/>
          <w:lang w:val="en-US" w:eastAsia="en-GB"/>
        </w:rPr>
        <w:t xml:space="preserve"> and</w:t>
      </w:r>
      <w:r w:rsidRPr="00A61F51">
        <w:rPr>
          <w:rFonts w:ascii="Calibri" w:eastAsia="Times New Roman" w:hAnsi="Calibri" w:cs="Calibri"/>
          <w:i/>
          <w:iCs/>
          <w:color w:val="000000"/>
          <w:sz w:val="22"/>
          <w:szCs w:val="22"/>
          <w:lang w:val="en-US" w:eastAsia="en-GB"/>
        </w:rPr>
        <w:t xml:space="preserve"> CBM New Zealand</w:t>
      </w:r>
      <w:r>
        <w:rPr>
          <w:rFonts w:ascii="Calibri" w:eastAsia="Times New Roman" w:hAnsi="Calibri" w:cs="Calibri"/>
          <w:i/>
          <w:iCs/>
          <w:color w:val="000000"/>
          <w:sz w:val="22"/>
          <w:szCs w:val="22"/>
          <w:lang w:val="en-US" w:eastAsia="en-GB"/>
        </w:rPr>
        <w:t xml:space="preserve"> </w:t>
      </w:r>
    </w:p>
    <w:p w14:paraId="17FE26EA" w14:textId="77777777" w:rsidR="00392B74" w:rsidRPr="00495091" w:rsidRDefault="00392B74" w:rsidP="007E1D92">
      <w:pP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</w:pPr>
    </w:p>
    <w:p w14:paraId="05EFA5E0" w14:textId="59E89EDA" w:rsidR="007E1D92" w:rsidRPr="00C92830" w:rsidRDefault="00385365" w:rsidP="007E1D92">
      <w:pPr>
        <w:rPr>
          <w:rStyle w:val="IntenseEmphasis"/>
          <w:rFonts w:ascii="Helvetica" w:hAnsi="Helvetica"/>
          <w:b/>
          <w:bCs/>
          <w:i w:val="0"/>
          <w:iCs w:val="0"/>
        </w:rPr>
      </w:pPr>
      <w:r>
        <w:rPr>
          <w:rStyle w:val="IntenseEmphasis"/>
          <w:rFonts w:ascii="Helvetica" w:hAnsi="Helvetica"/>
          <w:b/>
          <w:bCs/>
          <w:i w:val="0"/>
          <w:iCs w:val="0"/>
          <w:lang w:val="en-US"/>
        </w:rPr>
        <w:t>Panel</w:t>
      </w:r>
      <w:r w:rsidR="00495091" w:rsidRPr="00C92830">
        <w:rPr>
          <w:rStyle w:val="IntenseEmphasis"/>
          <w:rFonts w:ascii="Helvetica" w:hAnsi="Helvetica"/>
          <w:b/>
          <w:bCs/>
          <w:i w:val="0"/>
          <w:iCs w:val="0"/>
        </w:rPr>
        <w:t xml:space="preserve"> format:</w:t>
      </w:r>
    </w:p>
    <w:p w14:paraId="451036E0" w14:textId="1B865A57" w:rsidR="007E1D92" w:rsidRDefault="007E1D92" w:rsidP="007E1D92">
      <w:pPr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en-GB"/>
        </w:rPr>
      </w:pPr>
      <w:r w:rsidRPr="007E1D92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n-GB"/>
        </w:rPr>
        <w:t xml:space="preserve">Australia </w:t>
      </w:r>
      <w:r w:rsidRPr="002E09EE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en-GB"/>
        </w:rPr>
        <w:t>will co-host</w:t>
      </w:r>
      <w:r w:rsidRPr="007E1D92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en-GB"/>
        </w:rPr>
        <w:t xml:space="preserve"> this event with </w:t>
      </w:r>
      <w:r w:rsidRPr="002E09EE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en-GB"/>
        </w:rPr>
        <w:t>the</w:t>
      </w:r>
      <w:r w:rsidRPr="007E1D92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n-GB"/>
        </w:rPr>
        <w:t xml:space="preserve"> Pacific Disability Forum</w:t>
      </w:r>
      <w:r w:rsidRPr="007E1D92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en-GB"/>
        </w:rPr>
        <w:t xml:space="preserve"> - a constituency of 71 OPDs from 22 Pacific Island countries and territories.  There will be three key speakers, followed by Q&amp;A. </w:t>
      </w:r>
    </w:p>
    <w:p w14:paraId="7208CBD6" w14:textId="77777777" w:rsidR="00340D4B" w:rsidRDefault="00340D4B" w:rsidP="00340D4B">
      <w:pPr>
        <w:rPr>
          <w:rStyle w:val="IntenseEmphasis"/>
          <w:rFonts w:ascii="Helvetica" w:hAnsi="Helvetica"/>
          <w:b/>
          <w:bCs/>
          <w:i w:val="0"/>
          <w:iCs w:val="0"/>
        </w:rPr>
      </w:pPr>
    </w:p>
    <w:p w14:paraId="3BC4A381" w14:textId="54741444" w:rsidR="00340D4B" w:rsidRPr="00B42230" w:rsidRDefault="00340D4B" w:rsidP="00340D4B">
      <w:pPr>
        <w:rPr>
          <w:rFonts w:ascii="Open Sans" w:eastAsia="Times New Roman" w:hAnsi="Open Sans" w:cs="Open Sans"/>
          <w:b/>
          <w:bCs/>
          <w:i/>
          <w:iCs/>
          <w:color w:val="2F5496" w:themeColor="accent1" w:themeShade="BF"/>
          <w:sz w:val="20"/>
          <w:szCs w:val="20"/>
          <w:lang w:val="en-US" w:eastAsia="en-GB"/>
        </w:rPr>
      </w:pPr>
      <w:r w:rsidRPr="00340D4B">
        <w:rPr>
          <w:rStyle w:val="IntenseEmphasis"/>
          <w:rFonts w:ascii="Helvetica" w:hAnsi="Helvetica"/>
          <w:b/>
          <w:bCs/>
          <w:i w:val="0"/>
          <w:iCs w:val="0"/>
        </w:rPr>
        <w:t>Theme</w:t>
      </w:r>
      <w:r>
        <w:rPr>
          <w:rFonts w:ascii="Calibri" w:eastAsia="Times New Roman" w:hAnsi="Calibri" w:cs="Calibri"/>
          <w:b/>
          <w:bCs/>
          <w:i/>
          <w:iCs/>
          <w:color w:val="000000"/>
          <w:lang w:val="en-US" w:eastAsia="en-GB"/>
        </w:rPr>
        <w:t>:</w:t>
      </w:r>
      <w:r w:rsidRPr="001B0D8E">
        <w:rPr>
          <w:rFonts w:ascii="Open Sans" w:hAnsi="Open Sans" w:cs="Open Sans"/>
          <w:color w:val="283842"/>
          <w:sz w:val="20"/>
          <w:szCs w:val="20"/>
        </w:rPr>
        <w:t xml:space="preserve"> </w:t>
      </w:r>
      <w:r w:rsidRPr="00F92A04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Building disability-inclusive and participatory societies: recovering stronger and better through economic empowerment and entrepreneurship in the Pacific.</w:t>
      </w:r>
    </w:p>
    <w:p w14:paraId="0C448590" w14:textId="77777777" w:rsidR="00340D4B" w:rsidRPr="007E1D92" w:rsidRDefault="00340D4B" w:rsidP="007E1D92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02BFB582" w14:textId="3FDD1B92" w:rsidR="00B65280" w:rsidRPr="00C92830" w:rsidRDefault="00F94D60" w:rsidP="007E1D92">
      <w:pPr>
        <w:rPr>
          <w:rStyle w:val="IntenseEmphasis"/>
          <w:rFonts w:ascii="Helvetica" w:hAnsi="Helvetica"/>
          <w:b/>
          <w:bCs/>
          <w:i w:val="0"/>
          <w:iCs w:val="0"/>
        </w:rPr>
      </w:pPr>
      <w:r w:rsidRPr="00C92830">
        <w:rPr>
          <w:rStyle w:val="IntenseEmphasis"/>
          <w:rFonts w:ascii="Helvetica" w:hAnsi="Helvetica"/>
          <w:b/>
          <w:bCs/>
          <w:i w:val="0"/>
          <w:iCs w:val="0"/>
        </w:rPr>
        <w:t>Background</w:t>
      </w:r>
    </w:p>
    <w:p w14:paraId="3B07CEDF" w14:textId="4B5EEE5C" w:rsidR="008B11D8" w:rsidRPr="003613E6" w:rsidRDefault="008B11D8" w:rsidP="007E1D92">
      <w:pPr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</w:pPr>
      <w:r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The </w:t>
      </w:r>
      <w:r w:rsidR="00AE74BB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COVID</w:t>
      </w:r>
      <w:r w:rsidR="007B4661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-</w:t>
      </w:r>
      <w:r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1</w:t>
      </w:r>
      <w:r w:rsidR="007B4661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9</w:t>
      </w:r>
      <w:r w:rsidR="00AE74BB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 </w:t>
      </w:r>
      <w:r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pandemic </w:t>
      </w:r>
      <w:r w:rsidR="00AE74BB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has </w:t>
      </w:r>
      <w:r w:rsidR="006E7838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had a disproportionate impact on the lives of persons with </w:t>
      </w:r>
      <w:r w:rsidR="006E7838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disabilities. </w:t>
      </w:r>
      <w:r w:rsidR="00FF0CA6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It</w:t>
      </w:r>
      <w:r w:rsidR="006E7838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 has </w:t>
      </w:r>
      <w:r w:rsidR="007B4661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amplified </w:t>
      </w:r>
      <w:r w:rsidR="006E7838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and increased a range of </w:t>
      </w:r>
      <w:r w:rsidR="007B4661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barriers and inequalities faced by persons with disabilities </w:t>
      </w:r>
      <w:r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globally</w:t>
      </w:r>
      <w:r w:rsidR="006E7838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. T</w:t>
      </w:r>
      <w:r w:rsidR="007B4661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he Pacific region is no exception to this.</w:t>
      </w:r>
    </w:p>
    <w:p w14:paraId="3B55E2ED" w14:textId="77777777" w:rsidR="006E7838" w:rsidRPr="003613E6" w:rsidRDefault="006E7838" w:rsidP="007E1D92">
      <w:pPr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</w:pPr>
    </w:p>
    <w:p w14:paraId="20778922" w14:textId="1C0D4E96" w:rsidR="00AE74BB" w:rsidRPr="003613E6" w:rsidRDefault="00FF0CA6" w:rsidP="007E1D92">
      <w:pPr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</w:pPr>
      <w:r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In particular, </w:t>
      </w:r>
      <w:r w:rsidR="00CD4C5D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COVID-19</w:t>
      </w:r>
      <w:r w:rsidR="00E80B6F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 has</w:t>
      </w:r>
      <w:r w:rsidR="00CD4C5D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 increased </w:t>
      </w:r>
      <w:r w:rsidR="00562C54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the </w:t>
      </w:r>
      <w:r w:rsidR="00CD4C5D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economic vulnerability</w:t>
      </w:r>
      <w:r w:rsidR="009840C6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 of persons with disabilities</w:t>
      </w:r>
      <w:r w:rsidR="00CD4C5D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. </w:t>
      </w:r>
      <w:r w:rsidR="002D433E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Many have suffered the dual impact of</w:t>
      </w:r>
      <w:r w:rsidR="00A73135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 meeting</w:t>
      </w:r>
      <w:r w:rsidR="002D433E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 increased cost</w:t>
      </w:r>
      <w:r w:rsidR="00A73135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s</w:t>
      </w:r>
      <w:r w:rsidR="002D433E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 of living with decreased income. </w:t>
      </w:r>
      <w:r w:rsidR="006A2542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Pe</w:t>
      </w:r>
      <w:r w:rsidR="00393AEA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ople</w:t>
      </w:r>
      <w:r w:rsidR="006A2542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 with disabilities have reported increased </w:t>
      </w:r>
      <w:r w:rsidR="00F86DBE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expenses, including groceries, </w:t>
      </w:r>
      <w:r w:rsidR="006A2542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health</w:t>
      </w:r>
      <w:r w:rsidR="00F86DBE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 care and medicines</w:t>
      </w:r>
      <w:r w:rsidR="009F704D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, </w:t>
      </w:r>
      <w:r w:rsidR="00B82332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in addition to new expenses such as p</w:t>
      </w:r>
      <w:r w:rsidR="009F704D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ersonal protective </w:t>
      </w:r>
      <w:r w:rsidR="00417CE1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equipment. </w:t>
      </w:r>
      <w:r w:rsidR="00F338F0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At the same time,</w:t>
      </w:r>
      <w:r w:rsidR="00393AEA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 </w:t>
      </w:r>
      <w:r w:rsidR="003D11B0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people with </w:t>
      </w:r>
      <w:r w:rsidR="000A6195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disabilities </w:t>
      </w:r>
      <w:r w:rsidR="00F3531E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have had</w:t>
      </w:r>
      <w:r w:rsidR="000A6195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 less access to supports</w:t>
      </w:r>
      <w:r w:rsidR="00393AEA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,</w:t>
      </w:r>
      <w:r w:rsidR="00717621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 </w:t>
      </w:r>
      <w:r w:rsidR="00C1738E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affecting their ability to wor</w:t>
      </w:r>
      <w:r w:rsidR="006A0E33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k and </w:t>
      </w:r>
      <w:r w:rsidR="00821C25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further </w:t>
      </w:r>
      <w:r w:rsidR="00A243E8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marginalizing those who rely on carers and personal assistants for daily tasks</w:t>
      </w:r>
      <w:r w:rsidR="001B35E6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 or</w:t>
      </w:r>
      <w:r w:rsidR="00276649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 to remain connected to their communities. </w:t>
      </w:r>
      <w:r w:rsidR="002C6AE8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With most people with disability working in the informal sector, many</w:t>
      </w:r>
      <w:r w:rsidR="00276649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 </w:t>
      </w:r>
      <w:r w:rsidR="001B35E6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have </w:t>
      </w:r>
      <w:r w:rsidR="00276649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either lost or had reduced employment. </w:t>
      </w:r>
      <w:r w:rsidR="002C6AE8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 </w:t>
      </w:r>
      <w:r w:rsidR="000A6195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 </w:t>
      </w:r>
    </w:p>
    <w:p w14:paraId="58C0A885" w14:textId="720DE595" w:rsidR="00C92830" w:rsidRPr="003613E6" w:rsidRDefault="00C92830" w:rsidP="007E1D92">
      <w:pPr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</w:pPr>
    </w:p>
    <w:p w14:paraId="138ED301" w14:textId="1DBF14B7" w:rsidR="006A2542" w:rsidRDefault="006A2542" w:rsidP="006A2542">
      <w:pPr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</w:pPr>
      <w:r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Organisations representing persons with </w:t>
      </w:r>
      <w:r w:rsidR="003613E6"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disabilities throughout</w:t>
      </w:r>
      <w:r w:rsidRPr="003613E6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 the Pacific region have made clear that the promotion of economic empowerment, entrepreneurship and livelihood</w:t>
      </w:r>
      <w:r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 activities are the key to recover better, quicker, and stronger from COVID-19. </w:t>
      </w:r>
    </w:p>
    <w:p w14:paraId="6941973E" w14:textId="77777777" w:rsidR="006A2542" w:rsidRDefault="006A2542" w:rsidP="006A2542">
      <w:pPr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</w:pPr>
    </w:p>
    <w:p w14:paraId="582F49B2" w14:textId="0567228C" w:rsidR="00CD4C5D" w:rsidRDefault="00CD4C5D" w:rsidP="00CD4C5D">
      <w:pPr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</w:pPr>
      <w:r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lastRenderedPageBreak/>
        <w:t>In order to fully, equitably recover from the impacts of COVID-19, we will need to take a wide, coordinated approach, involving regional cooperation between governments, civil society organisations, donors</w:t>
      </w:r>
      <w:r w:rsidR="00654182"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 xml:space="preserve"> and other </w:t>
      </w:r>
      <w:r>
        <w:rPr>
          <w:rFonts w:ascii="Helvetica" w:eastAsia="Times New Roman" w:hAnsi="Helvetica" w:cs="Calibri"/>
          <w:color w:val="000000"/>
          <w:sz w:val="22"/>
          <w:szCs w:val="22"/>
          <w:lang w:val="en-US" w:eastAsia="en-GB"/>
        </w:rPr>
        <w:t>development partners, multilateral institutions and persons with disabilities themselves.</w:t>
      </w:r>
    </w:p>
    <w:p w14:paraId="115DCF54" w14:textId="77777777" w:rsidR="00A61F51" w:rsidRDefault="00A61F51" w:rsidP="007E1D92">
      <w:pPr>
        <w:rPr>
          <w:rStyle w:val="IntenseEmphasis"/>
          <w:rFonts w:ascii="Helvetica" w:hAnsi="Helvetica"/>
          <w:b/>
          <w:bCs/>
          <w:i w:val="0"/>
          <w:iCs w:val="0"/>
        </w:rPr>
      </w:pPr>
    </w:p>
    <w:p w14:paraId="3AC7AA5E" w14:textId="58E98345" w:rsidR="00F94D60" w:rsidRPr="00C92830" w:rsidRDefault="00F94D60" w:rsidP="007E1D92">
      <w:pPr>
        <w:rPr>
          <w:rStyle w:val="IntenseEmphasis"/>
          <w:rFonts w:ascii="Helvetica" w:hAnsi="Helvetica"/>
          <w:b/>
          <w:bCs/>
          <w:i w:val="0"/>
          <w:iCs w:val="0"/>
        </w:rPr>
      </w:pPr>
      <w:r w:rsidRPr="00C92830">
        <w:rPr>
          <w:rStyle w:val="IntenseEmphasis"/>
          <w:rFonts w:ascii="Helvetica" w:hAnsi="Helvetica"/>
          <w:b/>
          <w:bCs/>
          <w:i w:val="0"/>
          <w:iCs w:val="0"/>
        </w:rPr>
        <w:t xml:space="preserve">Rationale </w:t>
      </w:r>
    </w:p>
    <w:p w14:paraId="224A3FC0" w14:textId="554AA212" w:rsidR="00FB2D00" w:rsidRPr="00B15495" w:rsidRDefault="007E1D92" w:rsidP="007E1D92">
      <w:pPr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</w:pPr>
      <w:r w:rsidRPr="00B65280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Promoting and building a disability-inclusive and participatory society is critical for the economic independence and well-being of persons with disabilities.</w:t>
      </w:r>
      <w:r w:rsidR="00FB2D00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</w:t>
      </w:r>
      <w:r w:rsidR="00521AE3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As is</w:t>
      </w:r>
      <w:r w:rsidR="00FB2D00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clearly articulated in the CRPD</w:t>
      </w:r>
      <w:r w:rsidR="00521AE3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,</w:t>
      </w:r>
      <w:r w:rsidR="00FB2D00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</w:t>
      </w:r>
      <w:r w:rsidR="00D3510E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p</w:t>
      </w:r>
      <w:r w:rsidR="004D4175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ersons with disabilities </w:t>
      </w:r>
      <w:r w:rsidR="00987401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must be given equal chance</w:t>
      </w:r>
      <w:r w:rsidR="003D0D06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s</w:t>
      </w:r>
      <w:r w:rsidR="00987401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</w:t>
      </w:r>
      <w:r w:rsidR="00B850ED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and opportunities to better themselves through employment and education, without </w:t>
      </w:r>
      <w:r w:rsidR="003D0D06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fear of discrimination. </w:t>
      </w:r>
    </w:p>
    <w:p w14:paraId="6403F407" w14:textId="77777777" w:rsidR="00FB2D00" w:rsidRDefault="00FB2D00" w:rsidP="007E1D92">
      <w:pPr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</w:pPr>
    </w:p>
    <w:p w14:paraId="2256358C" w14:textId="5BA45EDE" w:rsidR="004E1C78" w:rsidRDefault="00F55CFA" w:rsidP="007E1D92">
      <w:pPr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</w:pPr>
      <w:r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As we </w:t>
      </w:r>
      <w:r w:rsidR="00A71CE6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learn to live with </w:t>
      </w:r>
      <w:r w:rsidR="007E1D92" w:rsidRPr="00B65280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COVID-19</w:t>
      </w:r>
      <w:r w:rsidR="001576CD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and climate change related shocks and stresses</w:t>
      </w:r>
      <w:r w:rsidR="007E1D92" w:rsidRPr="00B65280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, government</w:t>
      </w:r>
      <w:r w:rsidR="00A71CE6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s</w:t>
      </w:r>
      <w:r w:rsidR="007E1D92" w:rsidRPr="00B65280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,</w:t>
      </w:r>
      <w:r w:rsidR="00A71CE6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the</w:t>
      </w:r>
      <w:r w:rsidR="007E1D92" w:rsidRPr="00B65280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private sector and other partners have an opportunity to reassess and revise policies to </w:t>
      </w:r>
      <w:r w:rsidR="00521E79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ensure people with disabilities can fully and eff</w:t>
      </w:r>
      <w:r w:rsidR="00A865A3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ectively participate in, and be included in, society. </w:t>
      </w:r>
      <w:r w:rsidR="00332825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First and foremost, this </w:t>
      </w:r>
      <w:r w:rsidR="00A865A3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means addressing the essential pre-condition</w:t>
      </w:r>
      <w:r w:rsidR="00386045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s</w:t>
      </w:r>
      <w:r w:rsidR="00A865A3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for inclusion:</w:t>
      </w:r>
      <w:r w:rsidR="00727419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</w:t>
      </w:r>
      <w:r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accessib</w:t>
      </w:r>
      <w:r w:rsidR="00727419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ility, </w:t>
      </w:r>
      <w:r w:rsidR="003A2C8A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assistive devices, support services, social protection, community-based inclusive development</w:t>
      </w:r>
      <w:r w:rsidR="005A36B9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(CBID)</w:t>
      </w:r>
      <w:r w:rsidR="003A2C8A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and non-discrimination.</w:t>
      </w:r>
      <w:r w:rsidR="00A95CBB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</w:t>
      </w:r>
      <w:r w:rsidR="00332825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Accessibility</w:t>
      </w:r>
      <w:r w:rsidR="00A95CBB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</w:t>
      </w:r>
      <w:r w:rsidR="00332825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to the physical environment, transport, information and communications</w:t>
      </w:r>
      <w:r w:rsidR="00DA1192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, and other </w:t>
      </w:r>
      <w:r w:rsidR="0056317A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services</w:t>
      </w:r>
      <w:r w:rsidR="00DA1192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, </w:t>
      </w:r>
      <w:r w:rsidR="00A95CBB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ensures access </w:t>
      </w:r>
      <w:r w:rsidR="00EB3230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for persons with disabilities on an equal basis </w:t>
      </w:r>
      <w:r w:rsidR="00332825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with</w:t>
      </w:r>
      <w:r w:rsidR="00EB3230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others</w:t>
      </w:r>
      <w:r w:rsidR="005A36B9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.</w:t>
      </w:r>
      <w:r w:rsidR="00EB3230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</w:t>
      </w:r>
      <w:r w:rsidR="00BC64AD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Assistive </w:t>
      </w:r>
      <w:r w:rsidR="00DA1192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devices</w:t>
      </w:r>
      <w:r w:rsidR="00BC64AD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, </w:t>
      </w:r>
      <w:r w:rsidR="00645FDD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support services and social </w:t>
      </w:r>
      <w:r w:rsidR="00DA1192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protection</w:t>
      </w:r>
      <w:r w:rsidR="00645FDD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are enablers</w:t>
      </w:r>
      <w:r w:rsidR="00DA1192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,</w:t>
      </w:r>
      <w:r w:rsidR="00AF7657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while CBID ensures</w:t>
      </w:r>
      <w:r w:rsidR="00770FBF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inclusion and impact at community level, fostering bottom-up innovation and</w:t>
      </w:r>
      <w:r w:rsidR="003A2C8A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</w:t>
      </w:r>
      <w:r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accountab</w:t>
      </w:r>
      <w:r w:rsidR="00770FBF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ility. </w:t>
      </w:r>
      <w:r w:rsidR="00214C87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Enacting </w:t>
      </w:r>
      <w:r w:rsidR="00C93ADF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and enforcing </w:t>
      </w:r>
      <w:r w:rsidR="00214C87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l</w:t>
      </w:r>
      <w:r w:rsidR="00246B1F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egislat</w:t>
      </w:r>
      <w:r w:rsidR="00214C87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ion</w:t>
      </w:r>
      <w:r w:rsidR="00246B1F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against </w:t>
      </w:r>
      <w:r w:rsidR="00F22C1D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all forms of </w:t>
      </w:r>
      <w:r w:rsidR="00246B1F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dis</w:t>
      </w:r>
      <w:r w:rsidR="00974558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crimination on the grounds of </w:t>
      </w:r>
      <w:r w:rsidR="00F22C1D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disability</w:t>
      </w:r>
      <w:r w:rsidR="00521AE3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in line with the CRPD, </w:t>
      </w:r>
      <w:r w:rsidR="00F22C1D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including </w:t>
      </w:r>
      <w:r w:rsidR="00540F79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on the right to work</w:t>
      </w:r>
      <w:r w:rsidR="009624AF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and ensuring</w:t>
      </w:r>
      <w:r w:rsidR="00F22C1D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reasonable accommodation</w:t>
      </w:r>
      <w:r w:rsidR="00332825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,</w:t>
      </w:r>
      <w:r w:rsidR="00EA3B26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is crucial </w:t>
      </w:r>
      <w:r w:rsidR="00F8370F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to </w:t>
      </w:r>
      <w:r w:rsidR="00A5629C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ensuring</w:t>
      </w:r>
      <w:r w:rsidR="00521AE3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</w:t>
      </w:r>
      <w:r w:rsidR="0056317A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such </w:t>
      </w:r>
      <w:r w:rsidR="00521AE3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pre-conditions can be realised.</w:t>
      </w:r>
    </w:p>
    <w:p w14:paraId="1CEEDCEC" w14:textId="77777777" w:rsidR="004E1C78" w:rsidRDefault="004E1C78" w:rsidP="007E1D92">
      <w:pPr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</w:pPr>
    </w:p>
    <w:p w14:paraId="58B1A891" w14:textId="7515D211" w:rsidR="007E1D92" w:rsidRPr="007E1D92" w:rsidRDefault="00030B6E" w:rsidP="007E1D92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In this panel event, hosted by the Government of Australia and the Pacific Disability Forum, s</w:t>
      </w:r>
      <w:r w:rsidR="007E1D92" w:rsidRPr="00B65280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peakers will examine the socio-economic impact of COVID-19 in the Pacific and discuss opportunities to recover stronger and better through decisive</w:t>
      </w:r>
      <w:r w:rsidR="0077342B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,</w:t>
      </w:r>
      <w:r w:rsidR="007E1D92" w:rsidRPr="00B65280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sustainable interventions and innovation</w:t>
      </w:r>
      <w:r w:rsidR="0077342B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s</w:t>
      </w:r>
      <w:r w:rsidR="007E1D92" w:rsidRPr="00B65280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</w:t>
      </w:r>
      <w:r w:rsidR="000D7410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to </w:t>
      </w:r>
      <w:r w:rsidR="00C76BBA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economically </w:t>
      </w:r>
      <w:r w:rsidR="00C855B9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empower</w:t>
      </w:r>
      <w:r w:rsidR="00316F04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people</w:t>
      </w:r>
      <w:r w:rsidR="00C855B9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with disabilities</w:t>
      </w:r>
      <w:r w:rsidR="00787619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. </w:t>
      </w:r>
      <w:r w:rsidR="001F6646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</w:t>
      </w:r>
    </w:p>
    <w:p w14:paraId="329CB0E5" w14:textId="77777777" w:rsidR="007E1D92" w:rsidRPr="007E1D92" w:rsidRDefault="007E1D92" w:rsidP="007E1D92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7E1D92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018D8AA0" w14:textId="46AAD456" w:rsidR="007E1D92" w:rsidRPr="005A36B9" w:rsidRDefault="00775081">
      <w:pPr>
        <w:rPr>
          <w:rStyle w:val="IntenseEmphasis"/>
          <w:rFonts w:ascii="Helvetica" w:hAnsi="Helvetica"/>
          <w:b/>
          <w:bCs/>
          <w:i w:val="0"/>
          <w:iCs w:val="0"/>
        </w:rPr>
      </w:pPr>
      <w:r w:rsidRPr="005A36B9">
        <w:rPr>
          <w:rStyle w:val="IntenseEmphasis"/>
          <w:rFonts w:ascii="Helvetica" w:hAnsi="Helvetica"/>
          <w:b/>
          <w:bCs/>
          <w:i w:val="0"/>
          <w:iCs w:val="0"/>
        </w:rPr>
        <w:t xml:space="preserve">Program </w:t>
      </w:r>
    </w:p>
    <w:p w14:paraId="4A8C58E1" w14:textId="77777777" w:rsidR="00EC73A0" w:rsidRPr="00151932" w:rsidRDefault="00EC73A0">
      <w:pPr>
        <w:rPr>
          <w:rFonts w:ascii="Helvetica" w:hAnsi="Helvetica"/>
          <w:sz w:val="22"/>
          <w:szCs w:val="22"/>
          <w:lang w:val="en-US"/>
        </w:rPr>
      </w:pPr>
    </w:p>
    <w:p w14:paraId="3B5F9C89" w14:textId="77777777" w:rsidR="005A36B9" w:rsidRPr="005A36B9" w:rsidRDefault="005A36B9" w:rsidP="005A36B9">
      <w:pPr>
        <w:ind w:left="3828" w:hanging="3828"/>
        <w:rPr>
          <w:rFonts w:ascii="Helvetica" w:hAnsi="Helvetica"/>
          <w:i/>
          <w:iCs/>
          <w:sz w:val="22"/>
          <w:szCs w:val="22"/>
          <w:lang w:val="en-US"/>
        </w:rPr>
      </w:pPr>
      <w:r w:rsidRPr="005A36B9">
        <w:rPr>
          <w:rFonts w:ascii="Helvetica" w:hAnsi="Helvetica"/>
          <w:b/>
          <w:bCs/>
          <w:i/>
          <w:iCs/>
          <w:sz w:val="22"/>
          <w:szCs w:val="22"/>
          <w:lang w:val="en-US"/>
        </w:rPr>
        <w:t xml:space="preserve">Moderator and </w:t>
      </w:r>
      <w:r w:rsidR="00C11969" w:rsidRPr="005A36B9">
        <w:rPr>
          <w:rFonts w:ascii="Helvetica" w:hAnsi="Helvetica"/>
          <w:b/>
          <w:bCs/>
          <w:i/>
          <w:iCs/>
          <w:sz w:val="22"/>
          <w:szCs w:val="22"/>
          <w:lang w:val="en-US"/>
        </w:rPr>
        <w:t>Opening Statement</w:t>
      </w:r>
      <w:r w:rsidRPr="005A36B9">
        <w:rPr>
          <w:rFonts w:ascii="Helvetica" w:hAnsi="Helvetica"/>
          <w:b/>
          <w:bCs/>
          <w:i/>
          <w:iCs/>
          <w:sz w:val="22"/>
          <w:szCs w:val="22"/>
          <w:lang w:val="en-US"/>
        </w:rPr>
        <w:t>:</w:t>
      </w:r>
      <w:r w:rsidRPr="005A36B9">
        <w:rPr>
          <w:rFonts w:ascii="Helvetica" w:hAnsi="Helvetica"/>
          <w:i/>
          <w:iCs/>
          <w:sz w:val="22"/>
          <w:szCs w:val="22"/>
          <w:lang w:val="en-US"/>
        </w:rPr>
        <w:t xml:space="preserve">   </w:t>
      </w:r>
    </w:p>
    <w:p w14:paraId="049CD7B1" w14:textId="77777777" w:rsidR="005A36B9" w:rsidRDefault="005A36B9" w:rsidP="005A36B9">
      <w:pPr>
        <w:ind w:left="3828" w:hanging="3828"/>
        <w:rPr>
          <w:rFonts w:ascii="Helvetica" w:hAnsi="Helvetica"/>
          <w:sz w:val="22"/>
          <w:szCs w:val="22"/>
          <w:lang w:val="en-US"/>
        </w:rPr>
      </w:pPr>
    </w:p>
    <w:p w14:paraId="1291CD3F" w14:textId="21F3C146" w:rsidR="00C11969" w:rsidRPr="00151932" w:rsidRDefault="005A36B9" w:rsidP="005A36B9">
      <w:pPr>
        <w:rPr>
          <w:rFonts w:ascii="Helvetica" w:hAnsi="Helvetica"/>
          <w:sz w:val="22"/>
          <w:szCs w:val="22"/>
          <w:lang w:val="en-US"/>
        </w:rPr>
      </w:pPr>
      <w:r w:rsidRPr="002E09EE">
        <w:rPr>
          <w:rFonts w:ascii="Helvetica" w:hAnsi="Helvetica"/>
          <w:b/>
          <w:bCs/>
          <w:sz w:val="22"/>
          <w:szCs w:val="22"/>
          <w:lang w:val="en-US"/>
        </w:rPr>
        <w:t>Andrea Cole</w:t>
      </w:r>
      <w:r w:rsidRPr="005A36B9">
        <w:rPr>
          <w:rFonts w:ascii="Helvetica" w:hAnsi="Helvetica"/>
          <w:sz w:val="22"/>
          <w:szCs w:val="22"/>
          <w:lang w:val="en-US"/>
        </w:rPr>
        <w:t>, Director, Disability, Indigenous and Social Inclusion, Departme</w:t>
      </w:r>
      <w:r w:rsidRPr="00A87D57">
        <w:rPr>
          <w:rFonts w:ascii="Helvetica" w:hAnsi="Helvetica"/>
          <w:sz w:val="22"/>
          <w:szCs w:val="22"/>
          <w:lang w:val="en-US"/>
        </w:rPr>
        <w:t>nt of Foreign Affairs and Trade, Australia</w:t>
      </w:r>
    </w:p>
    <w:p w14:paraId="6031D9AD" w14:textId="325C31F8" w:rsidR="00EC73A0" w:rsidRPr="00151932" w:rsidRDefault="00EC73A0">
      <w:pPr>
        <w:rPr>
          <w:rFonts w:ascii="Helvetica" w:hAnsi="Helvetica"/>
          <w:sz w:val="22"/>
          <w:szCs w:val="22"/>
          <w:lang w:val="en-US"/>
        </w:rPr>
      </w:pPr>
    </w:p>
    <w:p w14:paraId="15F5C8D8" w14:textId="1F4A66DC" w:rsidR="00EC73A0" w:rsidRPr="005A36B9" w:rsidRDefault="00EC73A0">
      <w:pPr>
        <w:rPr>
          <w:rFonts w:ascii="Helvetica" w:hAnsi="Helvetica"/>
          <w:b/>
          <w:bCs/>
          <w:i/>
          <w:iCs/>
          <w:sz w:val="22"/>
          <w:szCs w:val="22"/>
          <w:lang w:val="en-US"/>
        </w:rPr>
      </w:pPr>
      <w:r w:rsidRPr="005A36B9">
        <w:rPr>
          <w:rFonts w:ascii="Helvetica" w:hAnsi="Helvetica"/>
          <w:b/>
          <w:bCs/>
          <w:i/>
          <w:iCs/>
          <w:sz w:val="22"/>
          <w:szCs w:val="22"/>
          <w:lang w:val="en-US"/>
        </w:rPr>
        <w:t>Speaker</w:t>
      </w:r>
      <w:r w:rsidR="005A36B9" w:rsidRPr="005A36B9">
        <w:rPr>
          <w:rFonts w:ascii="Helvetica" w:hAnsi="Helvetica"/>
          <w:b/>
          <w:bCs/>
          <w:i/>
          <w:iCs/>
          <w:sz w:val="22"/>
          <w:szCs w:val="22"/>
          <w:lang w:val="en-US"/>
        </w:rPr>
        <w:t>s</w:t>
      </w:r>
      <w:r w:rsidRPr="005A36B9">
        <w:rPr>
          <w:rFonts w:ascii="Helvetica" w:hAnsi="Helvetica"/>
          <w:b/>
          <w:bCs/>
          <w:i/>
          <w:iCs/>
          <w:sz w:val="22"/>
          <w:szCs w:val="22"/>
          <w:lang w:val="en-US"/>
        </w:rPr>
        <w:t xml:space="preserve">: </w:t>
      </w:r>
    </w:p>
    <w:p w14:paraId="095B7A44" w14:textId="77777777" w:rsidR="00CF2C6D" w:rsidRDefault="00CF2C6D">
      <w:pPr>
        <w:rPr>
          <w:rFonts w:ascii="Helvetica" w:hAnsi="Helvetica"/>
          <w:b/>
          <w:bCs/>
          <w:sz w:val="22"/>
          <w:szCs w:val="22"/>
          <w:lang w:val="en-US"/>
        </w:rPr>
      </w:pPr>
    </w:p>
    <w:p w14:paraId="0DCEDAD9" w14:textId="44138488" w:rsidR="00971FB4" w:rsidRPr="00AF1210" w:rsidRDefault="00971FB4">
      <w:pPr>
        <w:rPr>
          <w:rFonts w:ascii="Helvetica" w:hAnsi="Helvetica"/>
          <w:b/>
          <w:bCs/>
          <w:sz w:val="22"/>
          <w:szCs w:val="22"/>
          <w:lang w:val="en-US"/>
        </w:rPr>
      </w:pPr>
      <w:r w:rsidRPr="00AF1210">
        <w:rPr>
          <w:rFonts w:ascii="Helvetica" w:hAnsi="Helvetica"/>
          <w:b/>
          <w:bCs/>
          <w:sz w:val="22"/>
          <w:szCs w:val="22"/>
          <w:lang w:val="en-US"/>
        </w:rPr>
        <w:t xml:space="preserve">Speaker 1 </w:t>
      </w:r>
      <w:r w:rsidRPr="005A36B9">
        <w:rPr>
          <w:rFonts w:ascii="Helvetica" w:hAnsi="Helvetica"/>
          <w:sz w:val="22"/>
          <w:szCs w:val="22"/>
          <w:lang w:val="en-US"/>
        </w:rPr>
        <w:t>–</w:t>
      </w:r>
      <w:r w:rsidR="00CF2C6D" w:rsidRPr="005A36B9">
        <w:rPr>
          <w:rFonts w:ascii="Helvetica" w:hAnsi="Helvetica"/>
          <w:sz w:val="22"/>
          <w:szCs w:val="22"/>
          <w:lang w:val="en-US"/>
        </w:rPr>
        <w:t xml:space="preserve"> R</w:t>
      </w:r>
      <w:r w:rsidR="00B942E4" w:rsidRPr="005A36B9">
        <w:rPr>
          <w:rFonts w:ascii="Helvetica" w:hAnsi="Helvetica"/>
          <w:sz w:val="22"/>
          <w:szCs w:val="22"/>
          <w:lang w:val="en-US"/>
        </w:rPr>
        <w:t xml:space="preserve">epresentative </w:t>
      </w:r>
      <w:r w:rsidR="00813943" w:rsidRPr="005A36B9">
        <w:rPr>
          <w:rFonts w:ascii="Helvetica" w:hAnsi="Helvetica"/>
          <w:sz w:val="22"/>
          <w:szCs w:val="22"/>
          <w:lang w:val="en-US"/>
        </w:rPr>
        <w:t>of the Pacific Disability Forum</w:t>
      </w:r>
      <w:r w:rsidR="00813943">
        <w:rPr>
          <w:rFonts w:ascii="Helvetica" w:hAnsi="Helvetica"/>
          <w:b/>
          <w:bCs/>
          <w:sz w:val="22"/>
          <w:szCs w:val="22"/>
          <w:lang w:val="en-US"/>
        </w:rPr>
        <w:t xml:space="preserve"> </w:t>
      </w:r>
    </w:p>
    <w:p w14:paraId="5151BAFA" w14:textId="77777777" w:rsidR="007A62FF" w:rsidRPr="00151932" w:rsidRDefault="007A62FF">
      <w:pPr>
        <w:rPr>
          <w:rFonts w:ascii="Helvetica" w:hAnsi="Helvetica"/>
          <w:sz w:val="22"/>
          <w:szCs w:val="22"/>
          <w:lang w:val="en-US"/>
        </w:rPr>
      </w:pPr>
    </w:p>
    <w:p w14:paraId="3F23E14F" w14:textId="7C727603" w:rsidR="00971FB4" w:rsidRPr="005A36B9" w:rsidRDefault="00971FB4" w:rsidP="005A36B9">
      <w:pPr>
        <w:ind w:left="1276" w:hanging="1276"/>
        <w:rPr>
          <w:rFonts w:ascii="Helvetica" w:hAnsi="Helvetica"/>
          <w:sz w:val="22"/>
          <w:szCs w:val="22"/>
          <w:lang w:val="en-US"/>
        </w:rPr>
      </w:pPr>
      <w:r w:rsidRPr="00AF1210">
        <w:rPr>
          <w:rFonts w:ascii="Helvetica" w:hAnsi="Helvetica"/>
          <w:b/>
          <w:bCs/>
          <w:sz w:val="22"/>
          <w:szCs w:val="22"/>
          <w:lang w:val="en-US"/>
        </w:rPr>
        <w:t xml:space="preserve">Speaker 2 </w:t>
      </w:r>
      <w:r w:rsidRPr="005A36B9">
        <w:rPr>
          <w:rFonts w:ascii="Helvetica" w:hAnsi="Helvetica"/>
          <w:sz w:val="22"/>
          <w:szCs w:val="22"/>
          <w:lang w:val="en-US"/>
        </w:rPr>
        <w:t xml:space="preserve">– </w:t>
      </w:r>
      <w:r w:rsidR="00813943" w:rsidRPr="005A36B9">
        <w:rPr>
          <w:rFonts w:ascii="Helvetica" w:hAnsi="Helvetica"/>
          <w:sz w:val="22"/>
          <w:szCs w:val="22"/>
          <w:lang w:val="en-US"/>
        </w:rPr>
        <w:t xml:space="preserve">Representative of the Disability Division, Ministry of Women, Children and Poverty Alleviation, </w:t>
      </w:r>
      <w:r w:rsidR="00EC2CCC">
        <w:rPr>
          <w:rFonts w:ascii="Helvetica" w:hAnsi="Helvetica"/>
          <w:sz w:val="22"/>
          <w:szCs w:val="22"/>
          <w:lang w:val="en-US"/>
        </w:rPr>
        <w:t xml:space="preserve">Government of </w:t>
      </w:r>
      <w:r w:rsidR="00813943" w:rsidRPr="005A36B9">
        <w:rPr>
          <w:rFonts w:ascii="Helvetica" w:hAnsi="Helvetica"/>
          <w:sz w:val="22"/>
          <w:szCs w:val="22"/>
          <w:lang w:val="en-US"/>
        </w:rPr>
        <w:t xml:space="preserve">Fiji </w:t>
      </w:r>
    </w:p>
    <w:p w14:paraId="323144DD" w14:textId="77777777" w:rsidR="007A62FF" w:rsidRPr="00151932" w:rsidRDefault="007A62FF">
      <w:pPr>
        <w:rPr>
          <w:rFonts w:ascii="Helvetica" w:hAnsi="Helvetica"/>
          <w:sz w:val="22"/>
          <w:szCs w:val="22"/>
          <w:lang w:val="en-US"/>
        </w:rPr>
      </w:pPr>
    </w:p>
    <w:p w14:paraId="3E3C6A1D" w14:textId="0458C3E4" w:rsidR="00971FB4" w:rsidRPr="005A36B9" w:rsidRDefault="00971FB4">
      <w:pPr>
        <w:rPr>
          <w:rFonts w:ascii="Helvetica" w:hAnsi="Helvetica"/>
          <w:sz w:val="22"/>
          <w:szCs w:val="22"/>
          <w:lang w:val="en-US"/>
        </w:rPr>
      </w:pPr>
      <w:r w:rsidRPr="00AF1210">
        <w:rPr>
          <w:rFonts w:ascii="Helvetica" w:hAnsi="Helvetica"/>
          <w:b/>
          <w:bCs/>
          <w:sz w:val="22"/>
          <w:szCs w:val="22"/>
          <w:lang w:val="en-US"/>
        </w:rPr>
        <w:t xml:space="preserve">Speaker 3 </w:t>
      </w:r>
      <w:r w:rsidRPr="005A36B9">
        <w:rPr>
          <w:rFonts w:ascii="Helvetica" w:hAnsi="Helvetica"/>
          <w:sz w:val="22"/>
          <w:szCs w:val="22"/>
          <w:lang w:val="en-US"/>
        </w:rPr>
        <w:t xml:space="preserve">– </w:t>
      </w:r>
      <w:r w:rsidR="005A36B9" w:rsidRPr="005A36B9">
        <w:rPr>
          <w:rFonts w:ascii="Helvetica" w:hAnsi="Helvetica"/>
          <w:sz w:val="22"/>
          <w:szCs w:val="22"/>
          <w:lang w:val="en-US"/>
        </w:rPr>
        <w:t>Representative of the Asian Development Bank</w:t>
      </w:r>
      <w:r w:rsidRPr="005A36B9">
        <w:rPr>
          <w:rFonts w:ascii="Helvetica" w:hAnsi="Helvetica"/>
          <w:sz w:val="22"/>
          <w:szCs w:val="22"/>
          <w:lang w:val="en-US"/>
        </w:rPr>
        <w:t xml:space="preserve"> </w:t>
      </w:r>
    </w:p>
    <w:p w14:paraId="1A332FDC" w14:textId="38BFD267" w:rsidR="00971FB4" w:rsidRPr="005A36B9" w:rsidRDefault="00971FB4">
      <w:pPr>
        <w:rPr>
          <w:rFonts w:ascii="Helvetica" w:hAnsi="Helvetica"/>
          <w:sz w:val="22"/>
          <w:szCs w:val="22"/>
          <w:lang w:val="en-US"/>
        </w:rPr>
      </w:pPr>
    </w:p>
    <w:p w14:paraId="7EC5790F" w14:textId="57EF7B7D" w:rsidR="00A55D74" w:rsidRDefault="00A55D74" w:rsidP="007A62FF">
      <w:pPr>
        <w:rPr>
          <w:rFonts w:ascii="Helvetica" w:hAnsi="Helvetica"/>
          <w:b/>
          <w:bCs/>
          <w:sz w:val="22"/>
          <w:szCs w:val="22"/>
          <w:u w:val="single"/>
          <w:lang w:val="en-US"/>
        </w:rPr>
      </w:pPr>
    </w:p>
    <w:p w14:paraId="4D034112" w14:textId="6D64ECD8" w:rsidR="00A55D74" w:rsidRPr="00A55D74" w:rsidRDefault="00A55D74" w:rsidP="007A62FF">
      <w:pPr>
        <w:rPr>
          <w:rFonts w:ascii="Helvetica" w:hAnsi="Helvetica"/>
          <w:b/>
          <w:bCs/>
          <w:sz w:val="22"/>
          <w:szCs w:val="22"/>
          <w:lang w:val="en-US"/>
        </w:rPr>
      </w:pPr>
      <w:r w:rsidRPr="00A55D74">
        <w:rPr>
          <w:rFonts w:ascii="Helvetica" w:hAnsi="Helvetica"/>
          <w:b/>
          <w:bCs/>
          <w:sz w:val="22"/>
          <w:szCs w:val="22"/>
          <w:lang w:val="en-US"/>
        </w:rPr>
        <w:t>END</w:t>
      </w:r>
    </w:p>
    <w:sectPr w:rsidR="00A55D74" w:rsidRPr="00A55D74" w:rsidSect="00A61F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F8380" w14:textId="77777777" w:rsidR="006B20CD" w:rsidRDefault="006B20CD" w:rsidP="008B11D8">
      <w:r>
        <w:separator/>
      </w:r>
    </w:p>
  </w:endnote>
  <w:endnote w:type="continuationSeparator" w:id="0">
    <w:p w14:paraId="5B967BF7" w14:textId="77777777" w:rsidR="006B20CD" w:rsidRDefault="006B20CD" w:rsidP="008B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26A51" w14:textId="77777777" w:rsidR="008B11D8" w:rsidRDefault="008B11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76067" w14:textId="77777777" w:rsidR="008B11D8" w:rsidRDefault="008B11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41783" w14:textId="77777777" w:rsidR="008B11D8" w:rsidRDefault="008B1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B6597" w14:textId="77777777" w:rsidR="006B20CD" w:rsidRDefault="006B20CD" w:rsidP="008B11D8">
      <w:r>
        <w:separator/>
      </w:r>
    </w:p>
  </w:footnote>
  <w:footnote w:type="continuationSeparator" w:id="0">
    <w:p w14:paraId="703831F8" w14:textId="77777777" w:rsidR="006B20CD" w:rsidRDefault="006B20CD" w:rsidP="008B1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E1F70" w14:textId="77777777" w:rsidR="008B11D8" w:rsidRDefault="008B11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BFF77" w14:textId="64508A98" w:rsidR="008B11D8" w:rsidRDefault="008B11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45D8D" w14:textId="77777777" w:rsidR="008B11D8" w:rsidRDefault="008B1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40396"/>
    <w:multiLevelType w:val="hybridMultilevel"/>
    <w:tmpl w:val="90941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46722"/>
    <w:multiLevelType w:val="hybridMultilevel"/>
    <w:tmpl w:val="7CA2D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92"/>
    <w:rsid w:val="00006D54"/>
    <w:rsid w:val="00030B6E"/>
    <w:rsid w:val="00040542"/>
    <w:rsid w:val="000458F9"/>
    <w:rsid w:val="000A6195"/>
    <w:rsid w:val="000D7410"/>
    <w:rsid w:val="000E7249"/>
    <w:rsid w:val="0014721D"/>
    <w:rsid w:val="00151932"/>
    <w:rsid w:val="001576CD"/>
    <w:rsid w:val="00157AD8"/>
    <w:rsid w:val="00185E0C"/>
    <w:rsid w:val="00190E8C"/>
    <w:rsid w:val="00190FF8"/>
    <w:rsid w:val="001925F3"/>
    <w:rsid w:val="001B0D8E"/>
    <w:rsid w:val="001B35E6"/>
    <w:rsid w:val="001B550B"/>
    <w:rsid w:val="001E0BF2"/>
    <w:rsid w:val="001F5CE4"/>
    <w:rsid w:val="001F6646"/>
    <w:rsid w:val="00214C87"/>
    <w:rsid w:val="00223C57"/>
    <w:rsid w:val="002273F5"/>
    <w:rsid w:val="00246B1F"/>
    <w:rsid w:val="00276295"/>
    <w:rsid w:val="00276649"/>
    <w:rsid w:val="0028226F"/>
    <w:rsid w:val="0029371F"/>
    <w:rsid w:val="00296FFA"/>
    <w:rsid w:val="002C6AE8"/>
    <w:rsid w:val="002D433E"/>
    <w:rsid w:val="002E09EE"/>
    <w:rsid w:val="00316F04"/>
    <w:rsid w:val="00327F84"/>
    <w:rsid w:val="00332825"/>
    <w:rsid w:val="00340D4B"/>
    <w:rsid w:val="003613E6"/>
    <w:rsid w:val="00385365"/>
    <w:rsid w:val="00386045"/>
    <w:rsid w:val="00392B74"/>
    <w:rsid w:val="00393AEA"/>
    <w:rsid w:val="003A2C8A"/>
    <w:rsid w:val="003A67BA"/>
    <w:rsid w:val="003D0D06"/>
    <w:rsid w:val="003D11B0"/>
    <w:rsid w:val="003D36CF"/>
    <w:rsid w:val="003E7172"/>
    <w:rsid w:val="0040296B"/>
    <w:rsid w:val="0040342D"/>
    <w:rsid w:val="00417CE1"/>
    <w:rsid w:val="00423B88"/>
    <w:rsid w:val="004741FF"/>
    <w:rsid w:val="00495091"/>
    <w:rsid w:val="004A7700"/>
    <w:rsid w:val="004C53AA"/>
    <w:rsid w:val="004D4175"/>
    <w:rsid w:val="004E1C78"/>
    <w:rsid w:val="00521AE3"/>
    <w:rsid w:val="00521E79"/>
    <w:rsid w:val="00540F79"/>
    <w:rsid w:val="00553C86"/>
    <w:rsid w:val="00562C54"/>
    <w:rsid w:val="0056317A"/>
    <w:rsid w:val="00583798"/>
    <w:rsid w:val="005A36B9"/>
    <w:rsid w:val="005C1C3E"/>
    <w:rsid w:val="00612FAB"/>
    <w:rsid w:val="00645FDD"/>
    <w:rsid w:val="00654182"/>
    <w:rsid w:val="0067383C"/>
    <w:rsid w:val="006A0E33"/>
    <w:rsid w:val="006A2542"/>
    <w:rsid w:val="006A44FE"/>
    <w:rsid w:val="006B20CD"/>
    <w:rsid w:val="006E7838"/>
    <w:rsid w:val="00700EFE"/>
    <w:rsid w:val="00717621"/>
    <w:rsid w:val="0072654A"/>
    <w:rsid w:val="00727419"/>
    <w:rsid w:val="007549B8"/>
    <w:rsid w:val="00755965"/>
    <w:rsid w:val="00770FBF"/>
    <w:rsid w:val="0077342B"/>
    <w:rsid w:val="00775081"/>
    <w:rsid w:val="0077571A"/>
    <w:rsid w:val="00787619"/>
    <w:rsid w:val="007A62FF"/>
    <w:rsid w:val="007B4661"/>
    <w:rsid w:val="007B50D3"/>
    <w:rsid w:val="007E1D92"/>
    <w:rsid w:val="00811F62"/>
    <w:rsid w:val="00813943"/>
    <w:rsid w:val="008141C9"/>
    <w:rsid w:val="00821C25"/>
    <w:rsid w:val="008778C5"/>
    <w:rsid w:val="008A1108"/>
    <w:rsid w:val="008A2B71"/>
    <w:rsid w:val="008B11D8"/>
    <w:rsid w:val="008B5230"/>
    <w:rsid w:val="008C67CB"/>
    <w:rsid w:val="008F29C7"/>
    <w:rsid w:val="00906CF9"/>
    <w:rsid w:val="00925115"/>
    <w:rsid w:val="0093039A"/>
    <w:rsid w:val="00943272"/>
    <w:rsid w:val="00952602"/>
    <w:rsid w:val="009624AF"/>
    <w:rsid w:val="00971FB4"/>
    <w:rsid w:val="00974558"/>
    <w:rsid w:val="009840C6"/>
    <w:rsid w:val="0098504D"/>
    <w:rsid w:val="009861FC"/>
    <w:rsid w:val="00987401"/>
    <w:rsid w:val="009F2EAA"/>
    <w:rsid w:val="009F704D"/>
    <w:rsid w:val="00A243E8"/>
    <w:rsid w:val="00A55D74"/>
    <w:rsid w:val="00A5629C"/>
    <w:rsid w:val="00A61F51"/>
    <w:rsid w:val="00A71CE6"/>
    <w:rsid w:val="00A73135"/>
    <w:rsid w:val="00A839DC"/>
    <w:rsid w:val="00A865A3"/>
    <w:rsid w:val="00A87D57"/>
    <w:rsid w:val="00A95CBB"/>
    <w:rsid w:val="00AC1861"/>
    <w:rsid w:val="00AE74BB"/>
    <w:rsid w:val="00AF1210"/>
    <w:rsid w:val="00AF7657"/>
    <w:rsid w:val="00B0134A"/>
    <w:rsid w:val="00B15495"/>
    <w:rsid w:val="00B42230"/>
    <w:rsid w:val="00B43328"/>
    <w:rsid w:val="00B65280"/>
    <w:rsid w:val="00B81DB7"/>
    <w:rsid w:val="00B82332"/>
    <w:rsid w:val="00B850ED"/>
    <w:rsid w:val="00B942E4"/>
    <w:rsid w:val="00BB20CA"/>
    <w:rsid w:val="00BB2A86"/>
    <w:rsid w:val="00BB7E8A"/>
    <w:rsid w:val="00BC64AD"/>
    <w:rsid w:val="00BD751A"/>
    <w:rsid w:val="00BF446D"/>
    <w:rsid w:val="00C11969"/>
    <w:rsid w:val="00C1738E"/>
    <w:rsid w:val="00C66EC2"/>
    <w:rsid w:val="00C76BBA"/>
    <w:rsid w:val="00C855B9"/>
    <w:rsid w:val="00C92830"/>
    <w:rsid w:val="00C93ADF"/>
    <w:rsid w:val="00CD4C5D"/>
    <w:rsid w:val="00CF2C6D"/>
    <w:rsid w:val="00D10B30"/>
    <w:rsid w:val="00D3510E"/>
    <w:rsid w:val="00D47350"/>
    <w:rsid w:val="00D802C3"/>
    <w:rsid w:val="00DA1192"/>
    <w:rsid w:val="00DD0D9A"/>
    <w:rsid w:val="00DD3661"/>
    <w:rsid w:val="00DD6850"/>
    <w:rsid w:val="00E050AD"/>
    <w:rsid w:val="00E177B5"/>
    <w:rsid w:val="00E80B6F"/>
    <w:rsid w:val="00E835E9"/>
    <w:rsid w:val="00EA3B26"/>
    <w:rsid w:val="00EA54F9"/>
    <w:rsid w:val="00EB0CE4"/>
    <w:rsid w:val="00EB3230"/>
    <w:rsid w:val="00EC2CCC"/>
    <w:rsid w:val="00EC73A0"/>
    <w:rsid w:val="00EE7806"/>
    <w:rsid w:val="00F22C1D"/>
    <w:rsid w:val="00F338F0"/>
    <w:rsid w:val="00F3531E"/>
    <w:rsid w:val="00F55CFA"/>
    <w:rsid w:val="00F8370F"/>
    <w:rsid w:val="00F86DBE"/>
    <w:rsid w:val="00F87290"/>
    <w:rsid w:val="00F94D60"/>
    <w:rsid w:val="00FB2D00"/>
    <w:rsid w:val="00FB6CE3"/>
    <w:rsid w:val="00FC15F6"/>
    <w:rsid w:val="00FD15BC"/>
    <w:rsid w:val="00FD1CE0"/>
    <w:rsid w:val="00F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2FB7D"/>
  <w15:chartTrackingRefBased/>
  <w15:docId w15:val="{62FF1729-86AC-3640-833C-713127D4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E1D92"/>
  </w:style>
  <w:style w:type="character" w:customStyle="1" w:styleId="Heading2Char">
    <w:name w:val="Heading 2 Char"/>
    <w:basedOn w:val="DefaultParagraphFont"/>
    <w:link w:val="Heading2"/>
    <w:uiPriority w:val="9"/>
    <w:rsid w:val="007E1D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95091"/>
    <w:pPr>
      <w:tabs>
        <w:tab w:val="center" w:pos="4513"/>
        <w:tab w:val="right" w:pos="9026"/>
      </w:tabs>
    </w:pPr>
    <w:rPr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95091"/>
    <w:rPr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C92830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7A62F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B11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1D8"/>
  </w:style>
  <w:style w:type="character" w:styleId="CommentReference">
    <w:name w:val="annotation reference"/>
    <w:basedOn w:val="DefaultParagraphFont"/>
    <w:uiPriority w:val="99"/>
    <w:semiHidden/>
    <w:unhideWhenUsed/>
    <w:rsid w:val="00CD4C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C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C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C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C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5115"/>
  </w:style>
  <w:style w:type="character" w:styleId="Hyperlink">
    <w:name w:val="Hyperlink"/>
    <w:basedOn w:val="DefaultParagraphFont"/>
    <w:uiPriority w:val="99"/>
    <w:unhideWhenUsed/>
    <w:rsid w:val="00AC18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5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25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meeting/register/tZwsduCtpzguGd1wFc6shRWbfZXVXIf7tfx_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3C021-F330-4AE2-95A4-67ECCC4B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715</Words>
  <Characters>4361</Characters>
  <Application>Microsoft Office Word</Application>
  <DocSecurity>0</DocSecurity>
  <Lines>101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Laisa Vereti</dc:creator>
  <cp:keywords> [SEC=OFFICIAL]</cp:keywords>
  <dc:description/>
  <cp:lastModifiedBy>Lachlan Dawson</cp:lastModifiedBy>
  <cp:revision>10</cp:revision>
  <dcterms:created xsi:type="dcterms:W3CDTF">2022-06-08T13:04:00Z</dcterms:created>
  <dcterms:modified xsi:type="dcterms:W3CDTF">2022-06-09T14:34:00Z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721A54405D2C4162B4D9009B85DAF6AA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D6EAFDF8F4B21AA3CC5DA5CFD24DAEF21959FE7B</vt:lpwstr>
  </property>
  <property fmtid="{D5CDD505-2E9C-101B-9397-08002B2CF9AE}" pid="11" name="PM_OriginationTimeStamp">
    <vt:lpwstr>2022-06-09T14:33:34Z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2ECEFB1D2A01ADA88FE79D6358B08FF8</vt:lpwstr>
  </property>
  <property fmtid="{D5CDD505-2E9C-101B-9397-08002B2CF9AE}" pid="20" name="PM_Hash_Salt">
    <vt:lpwstr>2AE7BC02E9BFC9863E12F1AD2C1EEF6D</vt:lpwstr>
  </property>
  <property fmtid="{D5CDD505-2E9C-101B-9397-08002B2CF9AE}" pid="21" name="PM_Hash_SHA1">
    <vt:lpwstr>C02D41C60939999B8FC354F79DC757D25A4F8CD7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</Properties>
</file>