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F584" w14:textId="77777777" w:rsidR="007B0F25" w:rsidRDefault="007B0F25" w:rsidP="3E743832"/>
    <w:p w14:paraId="31AF302D" w14:textId="77777777" w:rsidR="004938C3" w:rsidRDefault="004938C3" w:rsidP="3E743832"/>
    <w:p w14:paraId="2C078E63" w14:textId="5907A6CF" w:rsidR="005350DB" w:rsidRDefault="3A877E81" w:rsidP="3E743832">
      <w:r>
        <w:rPr>
          <w:noProof/>
          <w:lang w:val="en-AU" w:eastAsia="en-AU"/>
        </w:rPr>
        <w:drawing>
          <wp:inline distT="0" distB="0" distL="0" distR="0" wp14:anchorId="727AD998" wp14:editId="3A877E81">
            <wp:extent cx="5895974" cy="1285875"/>
            <wp:effectExtent l="0" t="0" r="0" b="0"/>
            <wp:docPr id="1326882622" name="Picture 1326882622" descr="APRCEM (Asia-Pacific Regional Civil Society Engagement Mechanis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4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39075" w14:textId="56537722" w:rsidR="3E743832" w:rsidRDefault="3E743832" w:rsidP="3E743832"/>
    <w:p w14:paraId="78DDA145" w14:textId="7C441818" w:rsidR="17C44884" w:rsidRPr="00B0672F" w:rsidRDefault="0BA984FD" w:rsidP="008248D2">
      <w:pPr>
        <w:spacing w:line="240" w:lineRule="auto"/>
        <w:jc w:val="center"/>
        <w:rPr>
          <w:u w:val="single"/>
        </w:rPr>
      </w:pPr>
      <w:r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Disability Constituency </w:t>
      </w:r>
      <w:r w:rsidR="00B0672F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9</w:t>
      </w:r>
      <w:r w:rsidR="00B0672F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0672F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APFSD</w:t>
      </w:r>
      <w:r w:rsidR="008248D2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17C44884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Statement</w:t>
      </w:r>
      <w:r w:rsidR="00B0672F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, 2022</w:t>
      </w:r>
    </w:p>
    <w:p w14:paraId="45782A27" w14:textId="77777777" w:rsidR="006C4C3B" w:rsidRDefault="008248D2" w:rsidP="006C4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COVID-19 pandemic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</w:t>
      </w:r>
      <w:r w:rsidR="00E7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exacerbated and exposed</w:t>
      </w:r>
      <w:r w:rsidR="00395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long standing disparity, 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ersons with disabilities </w:t>
      </w:r>
      <w:r w:rsidR="00395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07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Under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normal circumst</w:t>
      </w:r>
      <w:r w:rsidR="00207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ances, they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less likely to access </w:t>
      </w:r>
      <w:r w:rsidR="001738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basic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alth care, 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quality 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education, livelihood, social and empowerment</w:t>
      </w:r>
      <w:r w:rsidR="00B06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opportunities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order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participate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equally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 communities</w:t>
      </w:r>
      <w:r w:rsidR="005B4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This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leads to</w:t>
      </w:r>
      <w:r w:rsidR="00B06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social inequality,</w:t>
      </w:r>
      <w:r w:rsidR="00DF5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4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unemployment, </w:t>
      </w:r>
      <w:r w:rsidR="00194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living in poverty in </w:t>
      </w:r>
      <w:r w:rsidR="00662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overpopulated </w:t>
      </w:r>
      <w:r w:rsidR="004B5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areas, increasing</w:t>
      </w:r>
      <w:r w:rsidR="00662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their exposure to outbreaks</w:t>
      </w:r>
      <w:r w:rsidR="004B5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health risks,</w:t>
      </w:r>
      <w:r w:rsidR="00DF5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experiencing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higher rates of viol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ence</w:t>
      </w:r>
      <w:r w:rsidR="005B4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</w:t>
      </w:r>
      <w:r w:rsidR="001738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abuse, to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being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among the most marginalized </w:t>
      </w:r>
      <w:r w:rsidR="000C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any humanitarian crisis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2743505" w14:textId="78ADFAB7" w:rsidR="0BA984FD" w:rsidRDefault="0BA984FD" w:rsidP="006C4C3B">
      <w:pPr>
        <w:spacing w:after="0" w:line="240" w:lineRule="auto"/>
        <w:jc w:val="both"/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4ECA05" w14:textId="2AF2FDFD" w:rsidR="0BA984FD" w:rsidRDefault="00A1490B" w:rsidP="006C4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1738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persons with disabil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ities are pr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otected, 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participate</w:t>
      </w:r>
      <w:r w:rsidR="00635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equally</w:t>
      </w:r>
      <w:r w:rsidR="001738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contribute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meaningfully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respond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fectively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are not left behind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it is </w:t>
      </w:r>
      <w:r w:rsidR="005B4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ethically 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imperative 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1738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necess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ary steps are taken</w:t>
      </w:r>
      <w:r w:rsidR="005B4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everyone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We urge </w:t>
      </w:r>
      <w:r w:rsidR="005E5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overnment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s, the private sector, civil society</w:t>
      </w:r>
      <w:r w:rsidR="00207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academia, </w:t>
      </w:r>
      <w:r w:rsidR="006C4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communities,</w:t>
      </w:r>
      <w:r w:rsidR="00207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individuals</w:t>
      </w:r>
      <w:r w:rsidR="005E5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all levels </w:t>
      </w:r>
      <w:r w:rsidR="000C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w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ork </w:t>
      </w:r>
      <w:r w:rsidR="007B0F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</w:t>
      </w:r>
      <w:r w:rsidR="00194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andem, </w:t>
      </w:r>
      <w:r w:rsidR="005E5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organizations of persons wit</w:t>
      </w:r>
      <w:r w:rsidR="00194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disabilities, using twin track approach, 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ensure persons with disabilities,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particular,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7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women, children and young </w:t>
      </w:r>
      <w:r w:rsidR="000C36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old </w:t>
      </w:r>
      <w:r w:rsidR="00207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persons with disabilities </w:t>
      </w:r>
      <w:r w:rsidR="005E5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not an afterthought</w:t>
      </w:r>
      <w:r w:rsidR="00164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but remain central </w:t>
      </w:r>
      <w:r w:rsidR="004B5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 w:rsidR="00662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5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64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full im</w:t>
      </w:r>
      <w:r w:rsidR="004B5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plementation of the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2030 agenda.</w:t>
      </w:r>
    </w:p>
    <w:p w14:paraId="4FBB811B" w14:textId="77777777" w:rsidR="006C4C3B" w:rsidRDefault="006C4C3B" w:rsidP="006C4C3B">
      <w:pPr>
        <w:spacing w:after="0" w:line="240" w:lineRule="auto"/>
        <w:jc w:val="both"/>
      </w:pPr>
    </w:p>
    <w:p w14:paraId="7EF2ED82" w14:textId="6754BF59" w:rsidR="0BA984FD" w:rsidRDefault="001A7D0D" w:rsidP="006C4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In-</w:t>
      </w:r>
      <w:r w:rsidR="00635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depth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understanding, political will, genuine 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commitment, </w:t>
      </w:r>
      <w:r w:rsidR="005C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cooperation, coordinated action,</w:t>
      </w:r>
      <w:r w:rsidR="00540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disability disaggregated data, adequate resourcing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realization of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pre-condition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inclusion of perso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ns with disabilities</w:t>
      </w:r>
      <w:r w:rsidR="005C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key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Building Back Better from COVID</w:t>
      </w:r>
      <w:r w:rsidR="00635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19, While Advancing the Full Implementation of the 2030 Agenda in Asia and the Pacific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precondition to inclusion can be referred to as the prerequisite for disability incl</w:t>
      </w:r>
      <w:r w:rsidR="005C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usion, and if not realized, 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will drastically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undermine the inclusion of all perso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ns with disabilities across all stages of development</w:t>
      </w:r>
      <w:r w:rsidR="00730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further widening the gap and l</w:t>
      </w:r>
      <w:r w:rsidR="005C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eaving them </w:t>
      </w:r>
      <w:r w:rsidR="00730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behind.</w:t>
      </w:r>
    </w:p>
    <w:p w14:paraId="393DB1AB" w14:textId="77777777" w:rsidR="006C4C3B" w:rsidRPr="00A53978" w:rsidRDefault="006C4C3B" w:rsidP="006C4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8F4C02" w14:textId="470690CD" w:rsidR="0BA984FD" w:rsidRDefault="00806450" w:rsidP="006C4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six different themes,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which are pre-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conditions for inclusion,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are accessibility, assistive device, 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social protection,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suppo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rt services,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community based inclusive development (CBID) and non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-dis</w:t>
      </w:r>
      <w:r w:rsidR="00335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crimination. These measures need to be in place first,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before inclusion for persons with disabilities can be achieved. Integrating the p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re-conditions into the response and building back better mechanism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promote and ensure inclusion of persons</w:t>
      </w:r>
      <w:r w:rsidR="00335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disabilitie</w:t>
      </w:r>
      <w:r w:rsidR="00730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13F9" w:rsidRPr="00D813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Leaving No One Behind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1EDE3A9" w14:textId="77777777" w:rsidR="006C4C3B" w:rsidRDefault="006C4C3B" w:rsidP="006C4C3B">
      <w:pPr>
        <w:spacing w:after="0" w:line="240" w:lineRule="auto"/>
        <w:jc w:val="both"/>
      </w:pPr>
    </w:p>
    <w:p w14:paraId="15FF4354" w14:textId="7E43A667" w:rsidR="0BA984FD" w:rsidRDefault="00D813F9" w:rsidP="006C4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Addressing the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barriers faced 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 persons with disabilities,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presents a u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</w:t>
      </w:r>
      <w:r w:rsidR="00335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 opportunity to </w:t>
      </w:r>
      <w:r w:rsidR="00730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leverage 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partnerships right across from global to community level, and  collectively design,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implement disabil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ity-inclusive development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consultation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persons with disabilities towards advancing 2030 Agenda.  It calls for putting </w:t>
      </w:r>
      <w:r w:rsidR="00682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persons with disabilitie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at the core</w:t>
      </w:r>
      <w:r w:rsidR="00682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valuing them as fundamental </w:t>
      </w:r>
      <w:r w:rsidR="00682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contributors of planning, implementation, response and monitoring, thus prohibiting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</w:t>
      </w:r>
      <w:r w:rsidR="00682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 of discrimination, placing particular emphasis on intersectionality.</w:t>
      </w:r>
    </w:p>
    <w:p w14:paraId="0453BFB9" w14:textId="77777777" w:rsidR="006C4C3B" w:rsidRDefault="006C4C3B" w:rsidP="006C4C3B">
      <w:pPr>
        <w:spacing w:after="0" w:line="240" w:lineRule="auto"/>
        <w:jc w:val="both"/>
      </w:pPr>
    </w:p>
    <w:p w14:paraId="01660377" w14:textId="691D86EE" w:rsidR="0BA984FD" w:rsidRDefault="0BA984FD" w:rsidP="006C4C3B">
      <w:pPr>
        <w:spacing w:after="0" w:line="240" w:lineRule="auto"/>
        <w:jc w:val="both"/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Below are key recomme</w:t>
      </w:r>
      <w:r w:rsidR="00561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ndations for building back better:</w:t>
      </w:r>
    </w:p>
    <w:p w14:paraId="72F52BF6" w14:textId="70371B8A" w:rsidR="0BA984FD" w:rsidRPr="00B16A58" w:rsidRDefault="0BA984FD" w:rsidP="006C4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="007A1F6E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</w:t>
      </w:r>
      <w:r w:rsidR="005F4A73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conditions</w:t>
      </w:r>
      <w:r w:rsidR="007A1F6E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meaningful consultation with and active participation of </w:t>
      </w:r>
      <w:r w:rsidR="007A1F6E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persons with disabi</w:t>
      </w:r>
      <w:r w:rsidR="00335747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lities and their representative </w:t>
      </w:r>
      <w:r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5F4A73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rganizations in all stages of development</w:t>
      </w:r>
      <w:r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109965" w14:textId="77777777" w:rsidR="00B16A58" w:rsidRPr="00B16A58" w:rsidRDefault="00B16A58" w:rsidP="006C4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A5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Ensure the allocation of resources both human, technical, and financial for disability</w:t>
      </w:r>
    </w:p>
    <w:p w14:paraId="0D28759F" w14:textId="63D994E6" w:rsidR="00B16A58" w:rsidRPr="00B16A58" w:rsidRDefault="00B16A58" w:rsidP="006C4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16A5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inclusive development across all sectors of Government machineries.</w:t>
      </w:r>
    </w:p>
    <w:p w14:paraId="0AC4EB22" w14:textId="3122F39D" w:rsidR="0BA984FD" w:rsidRPr="00B16A58" w:rsidRDefault="0BA984FD" w:rsidP="006C4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mainstreami</w:t>
      </w:r>
      <w:r w:rsidR="007A1F6E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</w:t>
      </w:r>
      <w:r w:rsidR="005F4A73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disability</w:t>
      </w:r>
      <w:r w:rsidR="007A1F6E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development</w:t>
      </w:r>
      <w:r w:rsidR="005F4A73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B0F25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</w:t>
      </w:r>
      <w:r w:rsidR="00DF4D71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targeted actions including prioritization of the collection and use of disability disaggregated data.</w:t>
      </w:r>
    </w:p>
    <w:p w14:paraId="50ADE5FD" w14:textId="2D323A43" w:rsidR="0BA984FD" w:rsidRPr="00B16A58" w:rsidRDefault="005F4A73" w:rsidP="006C4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="00DF4D71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accessible infrastructure, services, programs, </w:t>
      </w:r>
      <w:r w:rsidR="0BA984FD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information,</w:t>
      </w:r>
      <w:r w:rsidR="00DF4D71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communication and technology</w:t>
      </w:r>
      <w:r w:rsidR="0BA984FD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Accessibility is fundamental to the inclusion of persons with disabilities.</w:t>
      </w:r>
    </w:p>
    <w:p w14:paraId="51AE980B" w14:textId="6A42CBB4" w:rsidR="00B16A58" w:rsidRPr="00B16A58" w:rsidRDefault="00B16A58" w:rsidP="006C4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A58">
        <w:rPr>
          <w:rFonts w:ascii="Times New Roman" w:hAnsi="Times New Roman" w:cs="Times New Roman"/>
          <w:color w:val="000000" w:themeColor="text1"/>
          <w:sz w:val="24"/>
          <w:szCs w:val="24"/>
        </w:rPr>
        <w:t>Address the intersectional challenges faced by women, children, young and older persons</w:t>
      </w:r>
      <w:r w:rsidRPr="00B16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6A58">
        <w:rPr>
          <w:rFonts w:ascii="Times New Roman" w:hAnsi="Times New Roman" w:cs="Times New Roman"/>
          <w:color w:val="000000" w:themeColor="text1"/>
          <w:sz w:val="24"/>
          <w:szCs w:val="24"/>
        </w:rPr>
        <w:t>with disabilities through the development of legal frameworks that consists of</w:t>
      </w:r>
      <w:r w:rsidRPr="00B16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6A58">
        <w:rPr>
          <w:rFonts w:ascii="Times New Roman" w:hAnsi="Times New Roman" w:cs="Times New Roman"/>
          <w:color w:val="000000" w:themeColor="text1"/>
          <w:sz w:val="24"/>
          <w:szCs w:val="24"/>
        </w:rPr>
        <w:t>nondiscriminatory legislation that prohibits discrimination based on disability, gender,</w:t>
      </w:r>
      <w:r w:rsidRPr="00B16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6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age, </w:t>
      </w:r>
      <w:r w:rsidR="006C4C3B" w:rsidRPr="00B16A58">
        <w:rPr>
          <w:rFonts w:ascii="Times New Roman" w:hAnsi="Times New Roman" w:cs="Times New Roman"/>
          <w:color w:val="000000" w:themeColor="text1"/>
          <w:sz w:val="24"/>
          <w:szCs w:val="24"/>
        </w:rPr>
        <w:t>race,</w:t>
      </w:r>
      <w:r w:rsidRPr="00B16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other status including the provision of reasonable accommodation to</w:t>
      </w:r>
    </w:p>
    <w:p w14:paraId="7AF1D5BB" w14:textId="320BCB78" w:rsidR="00B16A58" w:rsidRPr="00B16A58" w:rsidRDefault="00B16A58" w:rsidP="006C4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A58">
        <w:rPr>
          <w:rFonts w:ascii="Times New Roman" w:hAnsi="Times New Roman" w:cs="Times New Roman"/>
          <w:color w:val="000000" w:themeColor="text1"/>
          <w:sz w:val="24"/>
          <w:szCs w:val="24"/>
        </w:rPr>
        <w:t>enhance meaningful participation and inclusion of persons with disabilities.</w:t>
      </w:r>
    </w:p>
    <w:p w14:paraId="6DA0DCBF" w14:textId="0422EAD9" w:rsidR="0BA984FD" w:rsidRPr="00B16A58" w:rsidRDefault="0BA984FD" w:rsidP="006C4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Establish accountability </w:t>
      </w:r>
      <w:r w:rsidR="005F4A73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monitoring </w:t>
      </w:r>
      <w:r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mechanisms to ensure</w:t>
      </w:r>
      <w:r w:rsidR="005F4A73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disability inclusion</w:t>
      </w:r>
      <w:r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BDCC44" w14:textId="11056DF5" w:rsidR="0BA984FD" w:rsidRPr="006C4C3B" w:rsidRDefault="0BA984FD" w:rsidP="006C4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inclusion of per</w:t>
      </w:r>
      <w:r w:rsidR="005F4A73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sons with disabilities in </w:t>
      </w:r>
      <w:r w:rsidR="00B26F3E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climate </w:t>
      </w:r>
      <w:r w:rsidR="00194BA0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change, disaster risk reduction, </w:t>
      </w:r>
      <w:r w:rsidR="007A1F6E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humanitarian response, </w:t>
      </w:r>
      <w:r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econom</w:t>
      </w:r>
      <w:r w:rsidR="00DF4D71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ic recovery, </w:t>
      </w:r>
      <w:r w:rsidR="006C4C3B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employment,</w:t>
      </w:r>
      <w:r w:rsidR="005F4A73"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educational</w:t>
      </w:r>
      <w:r w:rsidRPr="00B1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opportunities.</w:t>
      </w:r>
    </w:p>
    <w:p w14:paraId="32EA4686" w14:textId="77777777" w:rsidR="006C4C3B" w:rsidRPr="00B16A58" w:rsidRDefault="006C4C3B" w:rsidP="006C4C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A8C249" w14:textId="18580402" w:rsidR="006C4C3B" w:rsidRDefault="00532DA8" w:rsidP="006C4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Consequently, this will enable all stakeholders to better serve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</w:t>
      </w:r>
      <w:r w:rsidR="00DF4D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yone 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strengthen the means of implementation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partnerships for the goals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build back better. </w:t>
      </w:r>
    </w:p>
    <w:p w14:paraId="039E8D75" w14:textId="77777777" w:rsidR="006C4C3B" w:rsidRDefault="006C4C3B" w:rsidP="006C4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74EA4D" w14:textId="0FB35C3F" w:rsidR="0BA984FD" w:rsidRDefault="0BA984FD" w:rsidP="006C4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Inclusion of</w:t>
      </w:r>
      <w:r w:rsidR="00561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persons with disabilities</w:t>
      </w:r>
      <w:r w:rsidR="00E11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="00194B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vital to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achieving the pledge to leave no one behind, and a critical test of </w:t>
      </w:r>
      <w:r w:rsidR="00D41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accountability to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global </w:t>
      </w:r>
      <w:r w:rsidR="000C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commitments of the </w:t>
      </w:r>
      <w:r w:rsidR="006C4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</w:t>
      </w:r>
      <w:r w:rsidR="000C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Convention on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Rights of </w:t>
      </w:r>
      <w:r w:rsidR="00B03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Persons with Disabilities</w:t>
      </w:r>
      <w:r w:rsidR="000C29D0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2030</w:t>
      </w:r>
      <w:r w:rsidR="00B03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Agenda</w:t>
      </w:r>
      <w:r w:rsidR="00532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41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5D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Marrakec</w:t>
      </w:r>
      <w:r w:rsidR="00B03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Treaty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along with our very own</w:t>
      </w:r>
      <w:r w:rsidR="00532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Pacific Framework for the Rights of Persons with </w:t>
      </w:r>
      <w:r w:rsidR="00B03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Disabilities, Sendai Framework</w:t>
      </w:r>
      <w:r w:rsidR="006C4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03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D41E87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Incheon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Strategy. </w:t>
      </w:r>
      <w:r>
        <w:br/>
      </w:r>
    </w:p>
    <w:sectPr w:rsidR="0BA98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0913"/>
    <w:multiLevelType w:val="hybridMultilevel"/>
    <w:tmpl w:val="8C6809D8"/>
    <w:lvl w:ilvl="0" w:tplc="F31C4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83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0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24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40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63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00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4E65FE"/>
    <w:rsid w:val="000175BC"/>
    <w:rsid w:val="00083FB0"/>
    <w:rsid w:val="000C29D0"/>
    <w:rsid w:val="000C36A7"/>
    <w:rsid w:val="00164B1E"/>
    <w:rsid w:val="00173815"/>
    <w:rsid w:val="00194BA0"/>
    <w:rsid w:val="001A7D0D"/>
    <w:rsid w:val="001C2F3C"/>
    <w:rsid w:val="00207408"/>
    <w:rsid w:val="0024739B"/>
    <w:rsid w:val="00335747"/>
    <w:rsid w:val="00346936"/>
    <w:rsid w:val="003951AB"/>
    <w:rsid w:val="003A05D9"/>
    <w:rsid w:val="004462E7"/>
    <w:rsid w:val="00455E62"/>
    <w:rsid w:val="004938C3"/>
    <w:rsid w:val="004B5844"/>
    <w:rsid w:val="004D54DD"/>
    <w:rsid w:val="00522EE4"/>
    <w:rsid w:val="00532DA8"/>
    <w:rsid w:val="005350DB"/>
    <w:rsid w:val="00540933"/>
    <w:rsid w:val="00561041"/>
    <w:rsid w:val="005B15CC"/>
    <w:rsid w:val="005B4C23"/>
    <w:rsid w:val="005C0258"/>
    <w:rsid w:val="005E56CF"/>
    <w:rsid w:val="005F4A73"/>
    <w:rsid w:val="006356C3"/>
    <w:rsid w:val="00662F8E"/>
    <w:rsid w:val="006829A8"/>
    <w:rsid w:val="006C4C3B"/>
    <w:rsid w:val="00730015"/>
    <w:rsid w:val="007A1F6E"/>
    <w:rsid w:val="007B0F25"/>
    <w:rsid w:val="0080209C"/>
    <w:rsid w:val="00806450"/>
    <w:rsid w:val="008248D2"/>
    <w:rsid w:val="009A5D2F"/>
    <w:rsid w:val="00A1490B"/>
    <w:rsid w:val="00A35052"/>
    <w:rsid w:val="00A53978"/>
    <w:rsid w:val="00AB2B62"/>
    <w:rsid w:val="00B03404"/>
    <w:rsid w:val="00B0672F"/>
    <w:rsid w:val="00B16A58"/>
    <w:rsid w:val="00B26F3E"/>
    <w:rsid w:val="00CB5EDC"/>
    <w:rsid w:val="00D41E87"/>
    <w:rsid w:val="00D813F9"/>
    <w:rsid w:val="00DF4D71"/>
    <w:rsid w:val="00DF5480"/>
    <w:rsid w:val="00E11044"/>
    <w:rsid w:val="00E65C1F"/>
    <w:rsid w:val="00E76B40"/>
    <w:rsid w:val="0BA984FD"/>
    <w:rsid w:val="17C44884"/>
    <w:rsid w:val="1A0F8168"/>
    <w:rsid w:val="294E65FE"/>
    <w:rsid w:val="316F814C"/>
    <w:rsid w:val="34A7220E"/>
    <w:rsid w:val="3A877E81"/>
    <w:rsid w:val="3E743832"/>
    <w:rsid w:val="4B34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65FE"/>
  <w15:docId w15:val="{79F26F00-132D-43E6-B710-DB413845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Villaney Remengesau</dc:creator>
  <cp:lastModifiedBy>Villaney Remengesau</cp:lastModifiedBy>
  <cp:revision>3</cp:revision>
  <dcterms:created xsi:type="dcterms:W3CDTF">2022-03-26T13:24:00Z</dcterms:created>
  <dcterms:modified xsi:type="dcterms:W3CDTF">2022-03-26T13:28:00Z</dcterms:modified>
</cp:coreProperties>
</file>