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B9218" w14:textId="77777777" w:rsidR="00FB0FAA" w:rsidRDefault="006F672A">
      <w:pPr>
        <w:pStyle w:val="Heading2"/>
        <w:rPr>
          <w:rFonts w:ascii="Calibri" w:eastAsia="Calibri" w:hAnsi="Calibri" w:cs="Calibri"/>
          <w:b/>
          <w:bCs/>
          <w:color w:val="1F497D"/>
          <w:sz w:val="28"/>
          <w:szCs w:val="28"/>
          <w:u w:color="1F497D"/>
        </w:rPr>
      </w:pPr>
      <w:bookmarkStart w:id="0" w:name="_The_Canada_Fund"/>
      <w:bookmarkEnd w:id="0"/>
      <w:r>
        <w:rPr>
          <w:rFonts w:ascii="Calibri" w:hAnsi="Calibri"/>
          <w:b/>
          <w:bCs/>
          <w:color w:val="000000"/>
          <w:u w:color="000000"/>
        </w:rPr>
        <w:t>T</w:t>
      </w:r>
      <w:r>
        <w:rPr>
          <w:rFonts w:ascii="Calibri" w:hAnsi="Calibri"/>
          <w:b/>
          <w:bCs/>
          <w:color w:val="000000"/>
          <w:u w:color="000000"/>
          <w:lang w:val="en-US"/>
        </w:rPr>
        <w:t xml:space="preserve">he Canada Fund for Local Initiatives </w:t>
      </w:r>
      <w:r>
        <w:rPr>
          <w:rFonts w:ascii="Calibri" w:hAnsi="Calibri"/>
          <w:b/>
          <w:bCs/>
          <w:color w:val="000000"/>
          <w:u w:color="000000"/>
        </w:rPr>
        <w:t xml:space="preserve">– Samoa, Fiji, Tonga, </w:t>
      </w:r>
      <w:proofErr w:type="gramStart"/>
      <w:r>
        <w:rPr>
          <w:rFonts w:ascii="Calibri" w:hAnsi="Calibri"/>
          <w:b/>
          <w:bCs/>
          <w:color w:val="000000"/>
          <w:u w:color="000000"/>
        </w:rPr>
        <w:t>Tuvalu</w:t>
      </w:r>
      <w:proofErr w:type="gramEnd"/>
      <w:r>
        <w:rPr>
          <w:rFonts w:ascii="Calibri" w:hAnsi="Calibri"/>
          <w:b/>
          <w:bCs/>
          <w:color w:val="000000"/>
          <w:u w:color="000000"/>
          <w:lang w:val="en-US"/>
        </w:rPr>
        <w:t xml:space="preserve"> and </w:t>
      </w:r>
      <w:r>
        <w:rPr>
          <w:rFonts w:ascii="Calibri" w:hAnsi="Calibri"/>
          <w:b/>
          <w:bCs/>
          <w:color w:val="000000"/>
          <w:u w:color="000000"/>
          <w:lang w:val="it-IT"/>
        </w:rPr>
        <w:t>Kiribati</w:t>
      </w:r>
      <w:r>
        <w:rPr>
          <w:rFonts w:ascii="Calibri" w:hAnsi="Calibri"/>
          <w:b/>
          <w:bCs/>
          <w:color w:val="000000"/>
          <w:u w:color="000000"/>
          <w:lang w:val="en-US"/>
        </w:rPr>
        <w:t xml:space="preserve"> </w:t>
      </w:r>
      <w:r>
        <w:rPr>
          <w:rFonts w:ascii="Calibri" w:hAnsi="Calibri"/>
          <w:b/>
          <w:bCs/>
          <w:color w:val="000000"/>
          <w:u w:color="000000"/>
        </w:rPr>
        <w:t>(202</w:t>
      </w:r>
      <w:r>
        <w:rPr>
          <w:rFonts w:ascii="Calibri" w:hAnsi="Calibri"/>
          <w:b/>
          <w:bCs/>
          <w:color w:val="000000"/>
          <w:u w:color="000000"/>
          <w:lang w:val="en-US"/>
        </w:rPr>
        <w:t>4)</w:t>
      </w:r>
    </w:p>
    <w:p w14:paraId="72EAC2D3" w14:textId="6C34BE10" w:rsidR="00FB0FAA" w:rsidRDefault="006F672A" w:rsidP="00400D0A">
      <w:pPr>
        <w:pStyle w:val="Heading2"/>
        <w:spacing w:before="240" w:after="240"/>
        <w:jc w:val="both"/>
        <w:rPr>
          <w:rFonts w:ascii="Calibri" w:eastAsia="Calibri" w:hAnsi="Calibri" w:cs="Calibri"/>
          <w:color w:val="000000"/>
          <w:sz w:val="24"/>
          <w:szCs w:val="24"/>
          <w:u w:color="000000"/>
        </w:rPr>
      </w:pPr>
      <w:r>
        <w:rPr>
          <w:rFonts w:ascii="Calibri" w:hAnsi="Calibri"/>
          <w:color w:val="000000"/>
          <w:sz w:val="24"/>
          <w:szCs w:val="24"/>
          <w:u w:color="000000"/>
          <w:lang w:val="en-US"/>
        </w:rPr>
        <w:t xml:space="preserve">The High Commission of Canada in New Zealand is pleased to launch its annual call for proposals for the Canada Fund for Local Initiatives (CFLI) in Samoa, Fiji, Tonga, </w:t>
      </w:r>
      <w:proofErr w:type="gramStart"/>
      <w:r>
        <w:rPr>
          <w:rFonts w:ascii="Calibri" w:hAnsi="Calibri"/>
          <w:color w:val="000000"/>
          <w:sz w:val="24"/>
          <w:szCs w:val="24"/>
          <w:u w:color="000000"/>
          <w:lang w:val="en-US"/>
        </w:rPr>
        <w:t>Tuvalu</w:t>
      </w:r>
      <w:proofErr w:type="gramEnd"/>
      <w:r>
        <w:rPr>
          <w:rFonts w:ascii="Calibri" w:hAnsi="Calibri"/>
          <w:color w:val="000000"/>
          <w:sz w:val="24"/>
          <w:szCs w:val="24"/>
          <w:u w:color="000000"/>
          <w:lang w:val="en-US"/>
        </w:rPr>
        <w:t xml:space="preserve"> and </w:t>
      </w:r>
      <w:r>
        <w:rPr>
          <w:rFonts w:ascii="Calibri" w:hAnsi="Calibri"/>
          <w:color w:val="000000"/>
          <w:sz w:val="24"/>
          <w:szCs w:val="24"/>
          <w:u w:color="000000"/>
          <w:lang w:val="it-IT"/>
        </w:rPr>
        <w:t>Kiribati</w:t>
      </w:r>
      <w:r>
        <w:rPr>
          <w:rFonts w:ascii="Calibri" w:hAnsi="Calibri"/>
          <w:color w:val="000000"/>
          <w:sz w:val="24"/>
          <w:szCs w:val="24"/>
          <w:u w:color="000000"/>
          <w:lang w:val="en-US"/>
        </w:rPr>
        <w:t>.</w:t>
      </w:r>
    </w:p>
    <w:p w14:paraId="33410CB8" w14:textId="77777777" w:rsidR="00FB0FAA" w:rsidRDefault="006F672A">
      <w:pPr>
        <w:pStyle w:val="Heading2"/>
        <w:spacing w:before="240" w:after="240"/>
        <w:rPr>
          <w:rFonts w:ascii="Calibri" w:eastAsia="Calibri" w:hAnsi="Calibri" w:cs="Calibri"/>
          <w:b/>
          <w:bCs/>
          <w:color w:val="000000"/>
          <w:u w:color="000000"/>
        </w:rPr>
      </w:pPr>
      <w:r>
        <w:rPr>
          <w:rFonts w:ascii="Calibri" w:hAnsi="Calibri"/>
          <w:b/>
          <w:bCs/>
          <w:color w:val="000000"/>
          <w:u w:color="000000"/>
          <w:lang w:val="en-US"/>
        </w:rPr>
        <w:t>Program description</w:t>
      </w:r>
    </w:p>
    <w:p w14:paraId="6191B041" w14:textId="6F625EF2" w:rsidR="00FB0FAA" w:rsidRDefault="006F672A">
      <w:pPr>
        <w:pStyle w:val="Body"/>
        <w:jc w:val="both"/>
        <w:rPr>
          <w:sz w:val="24"/>
          <w:szCs w:val="24"/>
        </w:rPr>
      </w:pPr>
      <w:r>
        <w:rPr>
          <w:sz w:val="24"/>
          <w:szCs w:val="24"/>
          <w:lang w:val="en-US"/>
        </w:rPr>
        <w:t>The CFLI is a program designed to support small-scale, high-impact projects in developing countries, which align with Global Affairs Canada</w:t>
      </w:r>
      <w:r>
        <w:rPr>
          <w:sz w:val="24"/>
          <w:szCs w:val="24"/>
          <w:rtl/>
        </w:rPr>
        <w:t>’</w:t>
      </w:r>
      <w:r>
        <w:rPr>
          <w:sz w:val="24"/>
          <w:szCs w:val="24"/>
          <w:lang w:val="en-US"/>
        </w:rPr>
        <w:t xml:space="preserve">s thematic priority areas for engagement. The program is directed at projects conceived and designed predominantly by local partners. Projects are selected and approved by the relevant Canadian embassy or high commission. The CFLI also serves to support positive bilateral relations between Canada and recipient countries and their </w:t>
      </w:r>
      <w:r w:rsidR="00400D0A">
        <w:rPr>
          <w:noProof/>
          <w:sz w:val="24"/>
          <w:szCs w:val="24"/>
        </w:rPr>
        <mc:AlternateContent>
          <mc:Choice Requires="wps">
            <w:drawing>
              <wp:anchor distT="80010" distB="80010" distL="80010" distR="80010" simplePos="0" relativeHeight="251659264" behindDoc="0" locked="0" layoutInCell="1" allowOverlap="1" wp14:anchorId="33C5F752" wp14:editId="0A7CC3C9">
                <wp:simplePos x="0" y="0"/>
                <wp:positionH relativeFrom="margin">
                  <wp:posOffset>-40005</wp:posOffset>
                </wp:positionH>
                <wp:positionV relativeFrom="line">
                  <wp:posOffset>374015</wp:posOffset>
                </wp:positionV>
                <wp:extent cx="5922646" cy="962025"/>
                <wp:effectExtent l="0" t="0" r="0" b="0"/>
                <wp:wrapSquare wrapText="bothSides" distT="80010" distB="80010" distL="80010" distR="80010"/>
                <wp:docPr id="1073741825" name="officeArt object" descr="Text Box 2"/>
                <wp:cNvGraphicFramePr/>
                <a:graphic xmlns:a="http://schemas.openxmlformats.org/drawingml/2006/main">
                  <a:graphicData uri="http://schemas.microsoft.com/office/word/2010/wordprocessingShape">
                    <wps:wsp>
                      <wps:cNvSpPr txBox="1"/>
                      <wps:spPr>
                        <a:xfrm>
                          <a:off x="0" y="0"/>
                          <a:ext cx="5922646" cy="962025"/>
                        </a:xfrm>
                        <a:prstGeom prst="rect">
                          <a:avLst/>
                        </a:prstGeom>
                        <a:solidFill>
                          <a:srgbClr val="FFFFFF"/>
                        </a:solidFill>
                        <a:ln w="9525" cap="flat">
                          <a:solidFill>
                            <a:srgbClr val="000000"/>
                          </a:solidFill>
                          <a:prstDash val="solid"/>
                          <a:miter lim="800000"/>
                        </a:ln>
                        <a:effectLst/>
                      </wps:spPr>
                      <wps:txbx>
                        <w:txbxContent>
                          <w:p w14:paraId="03727EDB" w14:textId="77777777" w:rsidR="00FB0FAA" w:rsidRDefault="006F672A">
                            <w:pPr>
                              <w:pStyle w:val="Body"/>
                            </w:pPr>
                            <w:r>
                              <w:rPr>
                                <w:rFonts w:eastAsia="Arial Unicode MS" w:cs="Arial Unicode MS"/>
                                <w:sz w:val="24"/>
                                <w:szCs w:val="24"/>
                                <w:lang w:val="en-US"/>
                              </w:rPr>
                              <w:t xml:space="preserve">The average CFLI contribution is $45,000.00 Canadian Dollars (CAD$100,000 is the maximum allocation amount for a project eligible under CFLI). Consult the </w:t>
                            </w:r>
                            <w:hyperlink r:id="rId7" w:history="1">
                              <w:r>
                                <w:rPr>
                                  <w:rStyle w:val="Hyperlink0"/>
                                  <w:rFonts w:eastAsia="Arial Unicode MS" w:cs="Arial Unicode MS"/>
                                  <w:lang w:val="en-US"/>
                                </w:rPr>
                                <w:t>currency converter</w:t>
                              </w:r>
                            </w:hyperlink>
                            <w:r>
                              <w:rPr>
                                <w:rFonts w:eastAsia="Arial Unicode MS" w:cs="Arial Unicode MS"/>
                                <w:sz w:val="24"/>
                                <w:szCs w:val="24"/>
                                <w:lang w:val="en-US"/>
                              </w:rPr>
                              <w:t xml:space="preserve"> for local currency equivalents. Please note that all contributions are made in Canadian dollars and then converted to the local currency.</w:t>
                            </w:r>
                          </w:p>
                        </w:txbxContent>
                      </wps:txbx>
                      <wps:bodyPr wrap="square" lIns="45719" tIns="45719" rIns="45719" bIns="45719" numCol="1" anchor="t">
                        <a:noAutofit/>
                      </wps:bodyPr>
                    </wps:wsp>
                  </a:graphicData>
                </a:graphic>
              </wp:anchor>
            </w:drawing>
          </mc:Choice>
          <mc:Fallback>
            <w:pict>
              <v:shapetype w14:anchorId="33C5F752" id="_x0000_t202" coordsize="21600,21600" o:spt="202" path="m,l,21600r21600,l21600,xe">
                <v:stroke joinstyle="miter"/>
                <v:path gradientshapeok="t" o:connecttype="rect"/>
              </v:shapetype>
              <v:shape id="officeArt object" o:spid="_x0000_s1026" type="#_x0000_t202" alt="Text Box 2" style="position:absolute;left:0;text-align:left;margin-left:-3.15pt;margin-top:29.45pt;width:466.35pt;height:75.75pt;z-index:251659264;visibility:visible;mso-wrap-style:square;mso-wrap-distance-left:6.3pt;mso-wrap-distance-top:6.3pt;mso-wrap-distance-right:6.3pt;mso-wrap-distance-bottom:6.3pt;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Hl75AEAAOQDAAAOAAAAZHJzL2Uyb0RvYy54bWysU8GO2yAQvVfqPyDujR1rk26sOKt2o1SV&#10;qrbSdj+AYIiRgKFAYufvO+A08XZ7qsoBM8zwZubN8/phMJqchA8KbEPns5ISYTm0yh4a+vxj9+6e&#10;khCZbZkGKxp6FoE+bN6+WfeuFhV0oFvhCYLYUPeuoV2Mri6KwDthWJiBExadErxhEU1/KFrPekQ3&#10;uqjKcln04FvngYsQ8HY7Oukm40spePwmZRCR6IZibTHvPu/7tBebNasPnrlO8UsZ7B+qMExZTHqF&#10;2rLIyNGrV1BGcQ8BZJxxMAVIqbjIPWA38/KPbp465kTuBckJ7kpT+H+w/OvpyX33JA4fYcABJkJ6&#10;F+qAl6mfQXqTvlgpQT9SeL7SJoZIOF4uVlW1vFtSwtG3WlZltUgwxe218yF+EmBIOjTU41gyW+z0&#10;JcQx9HdIShZAq3antM6GP+wftScnhiPc5XVBfxGmLekx+wJzE85QSVKzMcmLsDBFK/P6G1qqZstC&#10;N2bNCCmM1UZF1KtWpqH309faJq/Iirv0dKMxneKwHy7c7qE9I+U9qq6h4eeReUGJ/mxxrHeL9/MV&#10;ynRq+Kmxnxr2aB4BWZlTwizvAHU9tmzhwzGCVJnblH1MiTNJBkopT+ci+6TVqZ2jbj/n5hcAAAD/&#10;/wMAUEsDBBQABgAIAAAAIQChD5Qc4QAAAAkBAAAPAAAAZHJzL2Rvd25yZXYueG1sTI8xT8MwFIR3&#10;JP6D9ZBYUOs0hKgNeakQEhILQ5MysLnxI4kaP6ex26b/Hncq4+lOd9/l68n04kSj6ywjLOYRCOLa&#10;6o4bhG31MVuCcF6xVr1lQriQg3Vxf5erTNszb+hU+kaEEnaZQmi9HzIpXd2SUW5uB+Lg/drRKB/k&#10;2Eg9qnMoN72MoyiVRnUcFlo10HtL9b48GoTDZf/9WW7N9PSTeIrVVB2+NhXi48P09grC0+RvYbji&#10;B3QoAtPOHlk70SPM0ueQRHhZrkAEfxWnCYgdQryIEpBFLv8/KP4AAAD//wMAUEsBAi0AFAAGAAgA&#10;AAAhALaDOJL+AAAA4QEAABMAAAAAAAAAAAAAAAAAAAAAAFtDb250ZW50X1R5cGVzXS54bWxQSwEC&#10;LQAUAAYACAAAACEAOP0h/9YAAACUAQAACwAAAAAAAAAAAAAAAAAvAQAAX3JlbHMvLnJlbHNQSwEC&#10;LQAUAAYACAAAACEA+nx5e+QBAADkAwAADgAAAAAAAAAAAAAAAAAuAgAAZHJzL2Uyb0RvYy54bWxQ&#10;SwECLQAUAAYACAAAACEAoQ+UHOEAAAAJAQAADwAAAAAAAAAAAAAAAAA+BAAAZHJzL2Rvd25yZXYu&#10;eG1sUEsFBgAAAAAEAAQA8wAAAEwFAAAAAA==&#10;">
                <v:textbox inset="1.27mm,1.27mm,1.27mm,1.27mm">
                  <w:txbxContent>
                    <w:p w14:paraId="03727EDB" w14:textId="77777777" w:rsidR="00FB0FAA" w:rsidRDefault="006F672A">
                      <w:pPr>
                        <w:pStyle w:val="Body"/>
                      </w:pPr>
                      <w:r>
                        <w:rPr>
                          <w:rFonts w:eastAsia="Arial Unicode MS" w:cs="Arial Unicode MS"/>
                          <w:sz w:val="24"/>
                          <w:szCs w:val="24"/>
                          <w:lang w:val="en-US"/>
                        </w:rPr>
                        <w:t>The average CFLI co</w:t>
                      </w:r>
                      <w:r>
                        <w:rPr>
                          <w:rFonts w:eastAsia="Arial Unicode MS" w:cs="Arial Unicode MS"/>
                          <w:sz w:val="24"/>
                          <w:szCs w:val="24"/>
                          <w:lang w:val="en-US"/>
                        </w:rPr>
                        <w:t xml:space="preserve">ntribution is $45,000.00 Canadian Dollars (CAD$100,000 is the maximum allocation amount for a project eligible under CFLI). Consult the </w:t>
                      </w:r>
                      <w:hyperlink r:id="rId8" w:history="1">
                        <w:r>
                          <w:rPr>
                            <w:rStyle w:val="Hyperlink0"/>
                            <w:rFonts w:eastAsia="Arial Unicode MS" w:cs="Arial Unicode MS"/>
                            <w:lang w:val="en-US"/>
                          </w:rPr>
                          <w:t>currency converter</w:t>
                        </w:r>
                      </w:hyperlink>
                      <w:r>
                        <w:rPr>
                          <w:rFonts w:eastAsia="Arial Unicode MS" w:cs="Arial Unicode MS"/>
                          <w:sz w:val="24"/>
                          <w:szCs w:val="24"/>
                          <w:lang w:val="en-US"/>
                        </w:rPr>
                        <w:t xml:space="preserve"> for local currency equivalents. Please note that all contributions are made in Canadian dollars and then converted to the local currency.</w:t>
                      </w:r>
                    </w:p>
                  </w:txbxContent>
                </v:textbox>
                <w10:wrap type="square" anchorx="margin" anchory="line"/>
              </v:shape>
            </w:pict>
          </mc:Fallback>
        </mc:AlternateContent>
      </w:r>
      <w:r>
        <w:rPr>
          <w:sz w:val="24"/>
          <w:szCs w:val="24"/>
          <w:lang w:val="en-US"/>
        </w:rPr>
        <w:t>civil societies, by deepening contacts and supporting local endeavors.</w:t>
      </w:r>
    </w:p>
    <w:p w14:paraId="4A5A78EB" w14:textId="3849252E" w:rsidR="00FB0FAA" w:rsidRDefault="00FB0FAA">
      <w:pPr>
        <w:pStyle w:val="Body"/>
        <w:shd w:val="clear" w:color="auto" w:fill="FFFFFF"/>
        <w:spacing w:after="0"/>
        <w:rPr>
          <w:color w:val="0070C0"/>
          <w:sz w:val="24"/>
          <w:szCs w:val="24"/>
          <w:u w:color="0070C0"/>
        </w:rPr>
      </w:pPr>
    </w:p>
    <w:p w14:paraId="646C0F84" w14:textId="6397B098" w:rsidR="00FB0FAA" w:rsidRDefault="006F672A" w:rsidP="00400D0A">
      <w:pPr>
        <w:pStyle w:val="Heading2"/>
        <w:rPr>
          <w:rFonts w:ascii="Calibri" w:hAnsi="Calibri"/>
          <w:b/>
          <w:bCs/>
          <w:color w:val="000000"/>
          <w:u w:color="000000"/>
          <w:lang w:val="en-US"/>
        </w:rPr>
      </w:pPr>
      <w:r>
        <w:rPr>
          <w:rFonts w:ascii="Calibri" w:hAnsi="Calibri"/>
          <w:b/>
          <w:bCs/>
          <w:color w:val="000000"/>
          <w:u w:color="000000"/>
          <w:lang w:val="en-US"/>
        </w:rPr>
        <w:t>How to apply</w:t>
      </w:r>
    </w:p>
    <w:p w14:paraId="40151C71" w14:textId="77777777" w:rsidR="00400D0A" w:rsidRPr="00400D0A" w:rsidRDefault="00400D0A" w:rsidP="00400D0A">
      <w:pPr>
        <w:pStyle w:val="Body"/>
        <w:rPr>
          <w:lang w:val="en-US"/>
        </w:rPr>
      </w:pPr>
    </w:p>
    <w:p w14:paraId="209C1EFC" w14:textId="77777777" w:rsidR="00FB0FAA" w:rsidRPr="00400D0A" w:rsidRDefault="006F672A">
      <w:pPr>
        <w:pStyle w:val="Heading2"/>
        <w:spacing w:after="240"/>
        <w:rPr>
          <w:rFonts w:ascii="Calibri" w:eastAsia="Calibri" w:hAnsi="Calibri" w:cs="Calibri"/>
          <w:b/>
          <w:bCs/>
          <w:color w:val="000000"/>
          <w:sz w:val="24"/>
          <w:szCs w:val="24"/>
          <w:u w:color="000000"/>
        </w:rPr>
      </w:pPr>
      <w:r w:rsidRPr="00400D0A">
        <w:rPr>
          <w:rFonts w:ascii="Calibri" w:hAnsi="Calibri"/>
          <w:b/>
          <w:bCs/>
          <w:color w:val="000000"/>
          <w:sz w:val="24"/>
          <w:szCs w:val="24"/>
          <w:u w:color="000000"/>
          <w:lang w:val="en-US"/>
        </w:rPr>
        <w:t xml:space="preserve">Organizations eligible to apply for CFLI </w:t>
      </w:r>
      <w:proofErr w:type="gramStart"/>
      <w:r w:rsidRPr="00400D0A">
        <w:rPr>
          <w:rFonts w:ascii="Calibri" w:hAnsi="Calibri"/>
          <w:b/>
          <w:bCs/>
          <w:color w:val="000000"/>
          <w:sz w:val="24"/>
          <w:szCs w:val="24"/>
          <w:u w:color="000000"/>
          <w:lang w:val="en-US"/>
        </w:rPr>
        <w:t>funding</w:t>
      </w:r>
      <w:proofErr w:type="gramEnd"/>
    </w:p>
    <w:p w14:paraId="205D6FD5" w14:textId="77777777" w:rsidR="00FB0FAA" w:rsidRDefault="006F672A">
      <w:pPr>
        <w:pStyle w:val="Body"/>
        <w:spacing w:after="0"/>
        <w:rPr>
          <w:sz w:val="24"/>
          <w:szCs w:val="24"/>
        </w:rPr>
      </w:pPr>
      <w:r>
        <w:rPr>
          <w:sz w:val="24"/>
          <w:szCs w:val="24"/>
          <w:lang w:val="en-US"/>
        </w:rPr>
        <w:t>Eligible recipients include:</w:t>
      </w:r>
    </w:p>
    <w:p w14:paraId="3B980064" w14:textId="77777777" w:rsidR="00FB0FAA" w:rsidRDefault="006F672A">
      <w:pPr>
        <w:pStyle w:val="Body"/>
        <w:numPr>
          <w:ilvl w:val="0"/>
          <w:numId w:val="2"/>
        </w:numPr>
        <w:spacing w:after="0"/>
        <w:rPr>
          <w:sz w:val="24"/>
          <w:szCs w:val="24"/>
          <w:lang w:val="en-US"/>
        </w:rPr>
      </w:pPr>
      <w:r>
        <w:rPr>
          <w:sz w:val="24"/>
          <w:szCs w:val="24"/>
          <w:lang w:val="en-US"/>
        </w:rPr>
        <w:t>Local non-governmental, community and not-for-profit organizations,</w:t>
      </w:r>
    </w:p>
    <w:p w14:paraId="5153D724" w14:textId="77777777" w:rsidR="00FB0FAA" w:rsidRDefault="006F672A">
      <w:pPr>
        <w:pStyle w:val="Body"/>
        <w:numPr>
          <w:ilvl w:val="0"/>
          <w:numId w:val="2"/>
        </w:numPr>
        <w:spacing w:after="0"/>
        <w:rPr>
          <w:sz w:val="24"/>
          <w:szCs w:val="24"/>
          <w:lang w:val="en-US"/>
        </w:rPr>
      </w:pPr>
      <w:r>
        <w:rPr>
          <w:sz w:val="24"/>
          <w:szCs w:val="24"/>
          <w:lang w:val="en-US"/>
        </w:rPr>
        <w:t>Local academic institutions working on local projects,</w:t>
      </w:r>
    </w:p>
    <w:p w14:paraId="18715F9D" w14:textId="77777777" w:rsidR="00FB0FAA" w:rsidRDefault="006F672A">
      <w:pPr>
        <w:pStyle w:val="Body"/>
        <w:numPr>
          <w:ilvl w:val="0"/>
          <w:numId w:val="2"/>
        </w:numPr>
        <w:spacing w:after="0"/>
        <w:rPr>
          <w:sz w:val="24"/>
          <w:szCs w:val="24"/>
          <w:lang w:val="en-US"/>
        </w:rPr>
      </w:pPr>
      <w:r>
        <w:rPr>
          <w:sz w:val="24"/>
          <w:szCs w:val="24"/>
          <w:lang w:val="en-US"/>
        </w:rPr>
        <w:t>International non-governmental organizations working on local development activities,</w:t>
      </w:r>
    </w:p>
    <w:p w14:paraId="506DD437" w14:textId="77777777" w:rsidR="00FB0FAA" w:rsidRDefault="006F672A">
      <w:pPr>
        <w:pStyle w:val="Body"/>
        <w:numPr>
          <w:ilvl w:val="0"/>
          <w:numId w:val="2"/>
        </w:numPr>
        <w:spacing w:after="0"/>
        <w:rPr>
          <w:sz w:val="24"/>
          <w:szCs w:val="24"/>
          <w:lang w:val="en-US"/>
        </w:rPr>
      </w:pPr>
      <w:r>
        <w:rPr>
          <w:sz w:val="24"/>
          <w:szCs w:val="24"/>
          <w:lang w:val="en-US"/>
        </w:rPr>
        <w:t xml:space="preserve">Intergovernmental, </w:t>
      </w:r>
      <w:proofErr w:type="gramStart"/>
      <w:r>
        <w:rPr>
          <w:sz w:val="24"/>
          <w:szCs w:val="24"/>
          <w:lang w:val="en-US"/>
        </w:rPr>
        <w:t>multilateral</w:t>
      </w:r>
      <w:proofErr w:type="gramEnd"/>
      <w:r>
        <w:rPr>
          <w:sz w:val="24"/>
          <w:szCs w:val="24"/>
          <w:lang w:val="en-US"/>
        </w:rPr>
        <w:t xml:space="preserve"> and regional institutions, organizations and agencies working on local development activities,</w:t>
      </w:r>
    </w:p>
    <w:p w14:paraId="20731514" w14:textId="77777777" w:rsidR="00FB0FAA" w:rsidRDefault="006F672A">
      <w:pPr>
        <w:pStyle w:val="Body"/>
        <w:numPr>
          <w:ilvl w:val="0"/>
          <w:numId w:val="2"/>
        </w:numPr>
        <w:spacing w:after="0"/>
        <w:rPr>
          <w:sz w:val="24"/>
          <w:szCs w:val="24"/>
          <w:lang w:val="en-US"/>
        </w:rPr>
      </w:pPr>
      <w:r>
        <w:rPr>
          <w:sz w:val="24"/>
          <w:szCs w:val="24"/>
          <w:lang w:val="en-US"/>
        </w:rPr>
        <w:t xml:space="preserve">Municipal, </w:t>
      </w:r>
      <w:proofErr w:type="gramStart"/>
      <w:r>
        <w:rPr>
          <w:sz w:val="24"/>
          <w:szCs w:val="24"/>
          <w:lang w:val="en-US"/>
        </w:rPr>
        <w:t>regional</w:t>
      </w:r>
      <w:proofErr w:type="gramEnd"/>
      <w:r>
        <w:rPr>
          <w:sz w:val="24"/>
          <w:szCs w:val="24"/>
          <w:lang w:val="en-US"/>
        </w:rPr>
        <w:t xml:space="preserve"> or national government institutions or agencies of the recipient country working on local projects, and</w:t>
      </w:r>
    </w:p>
    <w:p w14:paraId="79FC6499" w14:textId="77777777" w:rsidR="00FB0FAA" w:rsidRDefault="006F672A">
      <w:pPr>
        <w:pStyle w:val="Body"/>
        <w:numPr>
          <w:ilvl w:val="0"/>
          <w:numId w:val="2"/>
        </w:numPr>
        <w:spacing w:after="0"/>
        <w:rPr>
          <w:sz w:val="24"/>
          <w:szCs w:val="24"/>
          <w:lang w:val="en-US"/>
        </w:rPr>
      </w:pPr>
      <w:r>
        <w:rPr>
          <w:sz w:val="24"/>
          <w:szCs w:val="24"/>
          <w:lang w:val="en-US"/>
        </w:rPr>
        <w:t>Canadian non-governmental and not-for-profit organizations that are working on local development activities.</w:t>
      </w:r>
    </w:p>
    <w:p w14:paraId="62AC3498" w14:textId="77777777" w:rsidR="00FB0FAA" w:rsidRDefault="006F672A">
      <w:pPr>
        <w:pStyle w:val="Body"/>
        <w:tabs>
          <w:tab w:val="left" w:pos="1080"/>
        </w:tabs>
        <w:spacing w:after="0"/>
        <w:rPr>
          <w:sz w:val="24"/>
          <w:szCs w:val="24"/>
        </w:rPr>
      </w:pPr>
      <w:r>
        <w:rPr>
          <w:noProof/>
          <w:sz w:val="24"/>
          <w:szCs w:val="24"/>
          <w:lang w:val="en-US"/>
        </w:rPr>
        <w:lastRenderedPageBreak/>
        <mc:AlternateContent>
          <mc:Choice Requires="wps">
            <w:drawing>
              <wp:anchor distT="80010" distB="80010" distL="80010" distR="80010" simplePos="0" relativeHeight="251660288" behindDoc="0" locked="0" layoutInCell="1" allowOverlap="1" wp14:anchorId="43A78AA7" wp14:editId="0D7F0FEC">
                <wp:simplePos x="0" y="0"/>
                <wp:positionH relativeFrom="margin">
                  <wp:posOffset>228282</wp:posOffset>
                </wp:positionH>
                <wp:positionV relativeFrom="line">
                  <wp:posOffset>301101</wp:posOffset>
                </wp:positionV>
                <wp:extent cx="5929630" cy="5748655"/>
                <wp:effectExtent l="0" t="0" r="0" b="0"/>
                <wp:wrapTopAndBottom distT="80010" distB="80010"/>
                <wp:docPr id="1073741826" name="officeArt object" descr="Text Box 2"/>
                <wp:cNvGraphicFramePr/>
                <a:graphic xmlns:a="http://schemas.openxmlformats.org/drawingml/2006/main">
                  <a:graphicData uri="http://schemas.microsoft.com/office/word/2010/wordprocessingShape">
                    <wps:wsp>
                      <wps:cNvSpPr txBox="1"/>
                      <wps:spPr>
                        <a:xfrm>
                          <a:off x="0" y="0"/>
                          <a:ext cx="5929630" cy="5748655"/>
                        </a:xfrm>
                        <a:prstGeom prst="rect">
                          <a:avLst/>
                        </a:prstGeom>
                        <a:solidFill>
                          <a:srgbClr val="FFFFFF"/>
                        </a:solidFill>
                        <a:ln w="9525" cap="flat">
                          <a:solidFill>
                            <a:srgbClr val="000000"/>
                          </a:solidFill>
                          <a:prstDash val="solid"/>
                          <a:miter lim="800000"/>
                        </a:ln>
                        <a:effectLst/>
                      </wps:spPr>
                      <wps:txbx>
                        <w:txbxContent>
                          <w:p w14:paraId="7B8DDAF0" w14:textId="7570F6F2" w:rsidR="00FB0FAA" w:rsidRDefault="006F672A">
                            <w:pPr>
                              <w:pStyle w:val="Body"/>
                              <w:numPr>
                                <w:ilvl w:val="0"/>
                                <w:numId w:val="3"/>
                              </w:numPr>
                              <w:shd w:val="clear" w:color="auto" w:fill="FFFFFF"/>
                              <w:spacing w:after="0"/>
                              <w:rPr>
                                <w:sz w:val="24"/>
                                <w:szCs w:val="24"/>
                                <w:lang w:val="en-US"/>
                              </w:rPr>
                            </w:pPr>
                            <w:r>
                              <w:rPr>
                                <w:sz w:val="24"/>
                                <w:szCs w:val="24"/>
                                <w:lang w:val="en-US"/>
                              </w:rPr>
                              <w:t xml:space="preserve">All projects must be completed between the date of signature of the Contribution Agreement and </w:t>
                            </w:r>
                            <w:r>
                              <w:rPr>
                                <w:b/>
                                <w:bCs/>
                                <w:sz w:val="24"/>
                                <w:szCs w:val="24"/>
                                <w:lang w:val="en-US"/>
                              </w:rPr>
                              <w:t>March 9th</w:t>
                            </w:r>
                            <w:r w:rsidR="00400D0A">
                              <w:rPr>
                                <w:b/>
                                <w:bCs/>
                                <w:sz w:val="24"/>
                                <w:szCs w:val="24"/>
                                <w:lang w:val="en-US"/>
                              </w:rPr>
                              <w:t>, 2025.</w:t>
                            </w:r>
                          </w:p>
                          <w:p w14:paraId="0C151743" w14:textId="77777777" w:rsidR="00FB0FAA" w:rsidRDefault="006F672A">
                            <w:pPr>
                              <w:pStyle w:val="Body"/>
                              <w:numPr>
                                <w:ilvl w:val="0"/>
                                <w:numId w:val="3"/>
                              </w:numPr>
                              <w:shd w:val="clear" w:color="auto" w:fill="FFFFFF"/>
                              <w:spacing w:after="0"/>
                              <w:rPr>
                                <w:sz w:val="24"/>
                                <w:szCs w:val="24"/>
                                <w:lang w:val="en-US"/>
                              </w:rPr>
                            </w:pPr>
                            <w:r>
                              <w:rPr>
                                <w:b/>
                                <w:bCs/>
                                <w:sz w:val="24"/>
                                <w:szCs w:val="24"/>
                                <w:lang w:val="en-US"/>
                              </w:rPr>
                              <w:t>The deadline for submission is March 3rd</w:t>
                            </w:r>
                            <w:proofErr w:type="gramStart"/>
                            <w:r>
                              <w:rPr>
                                <w:b/>
                                <w:bCs/>
                                <w:sz w:val="24"/>
                                <w:szCs w:val="24"/>
                                <w:lang w:val="en-US"/>
                              </w:rPr>
                              <w:t xml:space="preserve"> 2024</w:t>
                            </w:r>
                            <w:proofErr w:type="gramEnd"/>
                            <w:r>
                              <w:rPr>
                                <w:b/>
                                <w:bCs/>
                                <w:sz w:val="24"/>
                                <w:szCs w:val="24"/>
                                <w:lang w:val="en-US"/>
                              </w:rPr>
                              <w:t xml:space="preserve"> </w:t>
                            </w:r>
                            <w:r>
                              <w:rPr>
                                <w:b/>
                                <w:bCs/>
                                <w:sz w:val="24"/>
                                <w:szCs w:val="24"/>
                              </w:rPr>
                              <w:t xml:space="preserve">at 23:59 (GMT+13:00). </w:t>
                            </w:r>
                            <w:r>
                              <w:rPr>
                                <w:sz w:val="24"/>
                                <w:szCs w:val="24"/>
                                <w:lang w:val="en-US"/>
                              </w:rPr>
                              <w:t xml:space="preserve">Applications submitted after this deadline </w:t>
                            </w:r>
                            <w:r>
                              <w:rPr>
                                <w:b/>
                                <w:bCs/>
                                <w:sz w:val="24"/>
                                <w:szCs w:val="24"/>
                                <w:lang w:val="en-US"/>
                              </w:rPr>
                              <w:t>will not be considered</w:t>
                            </w:r>
                            <w:r>
                              <w:rPr>
                                <w:sz w:val="24"/>
                                <w:szCs w:val="24"/>
                              </w:rPr>
                              <w:t>.</w:t>
                            </w:r>
                            <w:r>
                              <w:rPr>
                                <w:b/>
                                <w:bCs/>
                                <w:sz w:val="24"/>
                                <w:szCs w:val="24"/>
                              </w:rPr>
                              <w:t xml:space="preserve"> </w:t>
                            </w:r>
                            <w:r>
                              <w:rPr>
                                <w:sz w:val="24"/>
                                <w:szCs w:val="24"/>
                                <w:lang w:val="en-US"/>
                              </w:rPr>
                              <w:t xml:space="preserve">Proposals should be submitted electronically to: </w:t>
                            </w:r>
                            <w:bookmarkStart w:id="1" w:name="_Hlk158278459"/>
                            <w:r>
                              <w:rPr>
                                <w:rStyle w:val="Link"/>
                              </w:rPr>
                              <w:fldChar w:fldCharType="begin"/>
                            </w:r>
                            <w:r>
                              <w:rPr>
                                <w:rStyle w:val="Link"/>
                                <w:sz w:val="24"/>
                                <w:szCs w:val="24"/>
                              </w:rPr>
                              <w:instrText xml:space="preserve"> HYPERLINK "mailto:WLGTN.Canada-Fund@international.gc.ca"</w:instrText>
                            </w:r>
                            <w:r>
                              <w:rPr>
                                <w:rStyle w:val="Link"/>
                              </w:rPr>
                            </w:r>
                            <w:r>
                              <w:rPr>
                                <w:rStyle w:val="Link"/>
                              </w:rPr>
                              <w:fldChar w:fldCharType="separate"/>
                            </w:r>
                            <w:r>
                              <w:rPr>
                                <w:rStyle w:val="Link"/>
                                <w:sz w:val="24"/>
                                <w:szCs w:val="24"/>
                                <w:lang w:val="it-IT"/>
                              </w:rPr>
                              <w:t>WLGTN.Canada-Fund@international.gc.ca</w:t>
                            </w:r>
                            <w:r>
                              <w:rPr>
                                <w:sz w:val="24"/>
                                <w:szCs w:val="24"/>
                              </w:rPr>
                              <w:fldChar w:fldCharType="end"/>
                            </w:r>
                            <w:r>
                              <w:rPr>
                                <w:sz w:val="24"/>
                                <w:szCs w:val="24"/>
                              </w:rPr>
                              <w:t xml:space="preserve"> </w:t>
                            </w:r>
                            <w:bookmarkEnd w:id="1"/>
                          </w:p>
                          <w:p w14:paraId="202A1260" w14:textId="72605305" w:rsidR="00FB0FAA" w:rsidRDefault="006F672A">
                            <w:pPr>
                              <w:pStyle w:val="Body"/>
                              <w:numPr>
                                <w:ilvl w:val="0"/>
                                <w:numId w:val="3"/>
                              </w:numPr>
                              <w:shd w:val="clear" w:color="auto" w:fill="FFFFFF"/>
                              <w:spacing w:after="100"/>
                              <w:rPr>
                                <w:b/>
                                <w:bCs/>
                                <w:sz w:val="24"/>
                                <w:szCs w:val="24"/>
                                <w:lang w:val="en-US"/>
                              </w:rPr>
                            </w:pPr>
                            <w:r>
                              <w:rPr>
                                <w:b/>
                                <w:bCs/>
                                <w:sz w:val="24"/>
                                <w:szCs w:val="24"/>
                                <w:lang w:val="en-US"/>
                              </w:rPr>
                              <w:t xml:space="preserve">Only those proposals using the designated application form and including the required budget document will be considered: </w:t>
                            </w:r>
                            <w:hyperlink r:id="rId9" w:history="1">
                              <w:r>
                                <w:rPr>
                                  <w:rStyle w:val="Link"/>
                                  <w:b/>
                                  <w:bCs/>
                                  <w:sz w:val="24"/>
                                  <w:szCs w:val="24"/>
                                  <w:lang w:val="en-US"/>
                                </w:rPr>
                                <w:t>Canada Fund for Local Initiatives (CFLI) Project Application for Funding Form</w:t>
                              </w:r>
                            </w:hyperlink>
                            <w:r>
                              <w:rPr>
                                <w:rStyle w:val="Link"/>
                                <w:b/>
                                <w:bCs/>
                                <w:sz w:val="24"/>
                                <w:szCs w:val="24"/>
                              </w:rPr>
                              <w:t xml:space="preserve"> </w:t>
                            </w:r>
                            <w:r>
                              <w:rPr>
                                <w:rStyle w:val="Link"/>
                                <w:color w:val="000000"/>
                                <w:sz w:val="24"/>
                                <w:szCs w:val="24"/>
                                <w:u w:val="none" w:color="000000"/>
                              </w:rPr>
                              <w:t xml:space="preserve">(.pdf, 249.15 KB – </w:t>
                            </w:r>
                            <w:r>
                              <w:rPr>
                                <w:rStyle w:val="Link"/>
                                <w:color w:val="000000"/>
                                <w:sz w:val="24"/>
                                <w:szCs w:val="24"/>
                                <w:u w:val="none" w:color="000000"/>
                                <w:lang w:val="en-US"/>
                              </w:rPr>
                              <w:t xml:space="preserve">a help page is available online: </w:t>
                            </w:r>
                            <w:hyperlink r:id="rId10" w:anchor="open" w:history="1">
                              <w:r>
                                <w:rPr>
                                  <w:rStyle w:val="Hyperlink1"/>
                                  <w:sz w:val="24"/>
                                  <w:szCs w:val="24"/>
                                  <w:lang w:val="en-US"/>
                                </w:rPr>
                                <w:t>Help: Opening PDFs on your computer</w:t>
                              </w:r>
                            </w:hyperlink>
                            <w:r>
                              <w:rPr>
                                <w:rStyle w:val="Link"/>
                                <w:color w:val="000000"/>
                                <w:sz w:val="24"/>
                                <w:szCs w:val="24"/>
                                <w:u w:val="none" w:color="000000"/>
                              </w:rPr>
                              <w:t>).</w:t>
                            </w:r>
                            <w:r w:rsidR="00400D0A">
                              <w:rPr>
                                <w:rStyle w:val="Link"/>
                                <w:color w:val="000000"/>
                                <w:sz w:val="24"/>
                                <w:szCs w:val="24"/>
                                <w:u w:val="none" w:color="000000"/>
                              </w:rPr>
                              <w:t xml:space="preserve"> </w:t>
                            </w:r>
                            <w:r w:rsidR="00400D0A" w:rsidRPr="00670A43">
                              <w:rPr>
                                <w:rStyle w:val="Link"/>
                                <w:i/>
                                <w:iCs/>
                                <w:color w:val="000000"/>
                                <w:sz w:val="24"/>
                                <w:szCs w:val="24"/>
                                <w:u w:val="none" w:color="000000"/>
                              </w:rPr>
                              <w:t>If more convenient,</w:t>
                            </w:r>
                            <w:r w:rsidRPr="00670A43">
                              <w:rPr>
                                <w:rStyle w:val="Link"/>
                                <w:b/>
                                <w:bCs/>
                                <w:i/>
                                <w:iCs/>
                                <w:color w:val="000000"/>
                                <w:sz w:val="24"/>
                                <w:szCs w:val="24"/>
                                <w:u w:val="none" w:color="000000"/>
                              </w:rPr>
                              <w:t xml:space="preserve"> </w:t>
                            </w:r>
                            <w:r w:rsidR="00400D0A" w:rsidRPr="00670A43">
                              <w:rPr>
                                <w:rStyle w:val="Link"/>
                                <w:i/>
                                <w:iCs/>
                                <w:color w:val="000000"/>
                                <w:sz w:val="24"/>
                                <w:szCs w:val="24"/>
                                <w:u w:val="none" w:color="000000"/>
                              </w:rPr>
                              <w:t>a .doc version of the form can also be requested from the High Commission</w:t>
                            </w:r>
                            <w:r w:rsidR="00400D0A" w:rsidRPr="00400D0A">
                              <w:rPr>
                                <w:rStyle w:val="Link"/>
                                <w:i/>
                                <w:iCs/>
                                <w:color w:val="000000"/>
                                <w:sz w:val="24"/>
                                <w:szCs w:val="24"/>
                                <w:u w:val="none" w:color="000000"/>
                              </w:rPr>
                              <w:t xml:space="preserve"> electronically: </w:t>
                            </w:r>
                            <w:hyperlink r:id="rId11" w:history="1">
                              <w:r w:rsidR="00400D0A">
                                <w:rPr>
                                  <w:rStyle w:val="Link"/>
                                  <w:sz w:val="24"/>
                                  <w:szCs w:val="24"/>
                                  <w:lang w:val="it-IT"/>
                                </w:rPr>
                                <w:t>WLGTN.Canada-Fund@international.gc.ca</w:t>
                              </w:r>
                            </w:hyperlink>
                            <w:r w:rsidR="00400D0A">
                              <w:rPr>
                                <w:rStyle w:val="Link"/>
                                <w:b/>
                                <w:bCs/>
                                <w:i/>
                                <w:iCs/>
                                <w:color w:val="000000"/>
                                <w:sz w:val="24"/>
                                <w:szCs w:val="24"/>
                                <w:u w:val="none" w:color="000000"/>
                              </w:rPr>
                              <w:t xml:space="preserve"> </w:t>
                            </w:r>
                          </w:p>
                          <w:p w14:paraId="090FA6B9" w14:textId="77777777" w:rsidR="00FB0FAA" w:rsidRDefault="006F672A">
                            <w:pPr>
                              <w:pStyle w:val="Body"/>
                              <w:numPr>
                                <w:ilvl w:val="0"/>
                                <w:numId w:val="3"/>
                              </w:numPr>
                              <w:shd w:val="clear" w:color="auto" w:fill="FFFFFF"/>
                              <w:spacing w:after="100"/>
                              <w:rPr>
                                <w:sz w:val="24"/>
                                <w:szCs w:val="24"/>
                                <w:lang w:val="en-US"/>
                              </w:rPr>
                            </w:pPr>
                            <w:r>
                              <w:rPr>
                                <w:sz w:val="24"/>
                                <w:szCs w:val="24"/>
                                <w:lang w:val="en-US"/>
                              </w:rPr>
                              <w:t>For more information on the types of activities and costs that are eligible for CFLI funding, please refer to the list of CFLI approved activities and costs.</w:t>
                            </w:r>
                          </w:p>
                          <w:p w14:paraId="387BC360" w14:textId="77777777" w:rsidR="00FB0FAA" w:rsidRDefault="006F672A">
                            <w:pPr>
                              <w:pStyle w:val="Body"/>
                              <w:numPr>
                                <w:ilvl w:val="0"/>
                                <w:numId w:val="3"/>
                              </w:numPr>
                              <w:shd w:val="clear" w:color="auto" w:fill="FFFFFF"/>
                              <w:spacing w:after="100"/>
                              <w:rPr>
                                <w:sz w:val="24"/>
                                <w:szCs w:val="24"/>
                                <w:lang w:val="en-US"/>
                              </w:rPr>
                            </w:pPr>
                            <w:r>
                              <w:rPr>
                                <w:sz w:val="24"/>
                                <w:szCs w:val="24"/>
                                <w:lang w:val="en-US"/>
                              </w:rPr>
                              <w:t>Proposals must be completed in English or French.</w:t>
                            </w:r>
                          </w:p>
                          <w:p w14:paraId="7F030E3E" w14:textId="77777777" w:rsidR="00FB0FAA" w:rsidRDefault="006F672A">
                            <w:pPr>
                              <w:pStyle w:val="Body"/>
                              <w:numPr>
                                <w:ilvl w:val="0"/>
                                <w:numId w:val="3"/>
                              </w:numPr>
                              <w:shd w:val="clear" w:color="auto" w:fill="FFFFFF"/>
                              <w:spacing w:after="100"/>
                              <w:rPr>
                                <w:sz w:val="24"/>
                                <w:szCs w:val="24"/>
                                <w:lang w:val="en-US"/>
                              </w:rPr>
                            </w:pPr>
                            <w:r>
                              <w:rPr>
                                <w:sz w:val="24"/>
                                <w:szCs w:val="24"/>
                                <w:lang w:val="en-US"/>
                              </w:rPr>
                              <w:t xml:space="preserve">Project proposals must explicitly answer all questions in the CFLI project application form, including the required gender-based analysis. The proposed project budget should summarize the proposed activities and associated costs. </w:t>
                            </w:r>
                          </w:p>
                          <w:p w14:paraId="33464E98" w14:textId="77777777" w:rsidR="00FB0FAA" w:rsidRDefault="006F672A">
                            <w:pPr>
                              <w:pStyle w:val="Body"/>
                              <w:numPr>
                                <w:ilvl w:val="0"/>
                                <w:numId w:val="3"/>
                              </w:numPr>
                              <w:shd w:val="clear" w:color="auto" w:fill="FFFFFF"/>
                              <w:spacing w:after="100"/>
                              <w:rPr>
                                <w:sz w:val="24"/>
                                <w:szCs w:val="24"/>
                                <w:lang w:val="en-US"/>
                              </w:rPr>
                            </w:pPr>
                            <w:r>
                              <w:rPr>
                                <w:sz w:val="24"/>
                                <w:szCs w:val="24"/>
                                <w:lang w:val="en-US"/>
                              </w:rPr>
                              <w:t xml:space="preserve">Applications will be assessed for approval on their merits by a selection committee. </w:t>
                            </w:r>
                          </w:p>
                          <w:p w14:paraId="2B41F09E" w14:textId="77777777" w:rsidR="00FB0FAA" w:rsidRDefault="006F672A">
                            <w:pPr>
                              <w:pStyle w:val="Body"/>
                              <w:numPr>
                                <w:ilvl w:val="0"/>
                                <w:numId w:val="3"/>
                              </w:numPr>
                              <w:shd w:val="clear" w:color="auto" w:fill="FFFFFF"/>
                              <w:spacing w:after="100"/>
                              <w:rPr>
                                <w:sz w:val="24"/>
                                <w:szCs w:val="24"/>
                                <w:lang w:val="en-US"/>
                              </w:rPr>
                            </w:pPr>
                            <w:r>
                              <w:rPr>
                                <w:sz w:val="24"/>
                                <w:szCs w:val="24"/>
                                <w:lang w:val="en-US"/>
                              </w:rPr>
                              <w:t>Due to the large number of applicants, only the successful candidates will be contacted.</w:t>
                            </w:r>
                          </w:p>
                          <w:p w14:paraId="1BB8973F" w14:textId="77777777" w:rsidR="00FB0FAA" w:rsidRDefault="006F672A">
                            <w:pPr>
                              <w:pStyle w:val="Body"/>
                              <w:numPr>
                                <w:ilvl w:val="0"/>
                                <w:numId w:val="3"/>
                              </w:numPr>
                              <w:shd w:val="clear" w:color="auto" w:fill="FFFFFF"/>
                              <w:spacing w:after="100"/>
                              <w:rPr>
                                <w:sz w:val="24"/>
                                <w:szCs w:val="24"/>
                                <w:lang w:val="en-US"/>
                              </w:rPr>
                            </w:pPr>
                            <w:r>
                              <w:rPr>
                                <w:sz w:val="24"/>
                                <w:szCs w:val="24"/>
                                <w:lang w:val="en-US"/>
                              </w:rPr>
                              <w:t xml:space="preserve">For questions about the application process, please contact the CFLI Coordinator by email at </w:t>
                            </w:r>
                            <w:hyperlink r:id="rId12" w:history="1">
                              <w:r>
                                <w:rPr>
                                  <w:rStyle w:val="Link"/>
                                  <w:sz w:val="24"/>
                                  <w:szCs w:val="24"/>
                                  <w:lang w:val="it-IT"/>
                                </w:rPr>
                                <w:t>WLGTN.Canada-Fund@international.gc.ca</w:t>
                              </w:r>
                            </w:hyperlink>
                            <w:r>
                              <w:rPr>
                                <w:color w:val="0070C0"/>
                                <w:sz w:val="24"/>
                                <w:szCs w:val="24"/>
                                <w:u w:color="0070C0"/>
                              </w:rPr>
                              <w:t xml:space="preserve"> </w:t>
                            </w:r>
                          </w:p>
                          <w:p w14:paraId="138F080F" w14:textId="77777777" w:rsidR="00FB0FAA" w:rsidRDefault="006F672A">
                            <w:pPr>
                              <w:pStyle w:val="Body"/>
                              <w:numPr>
                                <w:ilvl w:val="0"/>
                                <w:numId w:val="3"/>
                              </w:numPr>
                              <w:shd w:val="clear" w:color="auto" w:fill="FFFFFF"/>
                              <w:spacing w:after="100"/>
                              <w:rPr>
                                <w:sz w:val="24"/>
                                <w:szCs w:val="24"/>
                                <w:lang w:val="en-US"/>
                              </w:rPr>
                            </w:pPr>
                            <w:r>
                              <w:rPr>
                                <w:sz w:val="24"/>
                                <w:szCs w:val="24"/>
                                <w:lang w:val="en-US"/>
                              </w:rPr>
                              <w:t>Project applications are kept on file at missions in accordance with Global Affairs Canada</w:t>
                            </w:r>
                            <w:r>
                              <w:rPr>
                                <w:sz w:val="24"/>
                                <w:szCs w:val="24"/>
                                <w:rtl/>
                              </w:rPr>
                              <w:t>’</w:t>
                            </w:r>
                            <w:r w:rsidRPr="00400D0A">
                              <w:rPr>
                                <w:sz w:val="24"/>
                                <w:szCs w:val="24"/>
                              </w:rPr>
                              <w:t>s information management policies.</w:t>
                            </w:r>
                          </w:p>
                          <w:p w14:paraId="7134D574" w14:textId="77777777" w:rsidR="00FB0FAA" w:rsidRDefault="006F672A">
                            <w:pPr>
                              <w:pStyle w:val="Body"/>
                              <w:numPr>
                                <w:ilvl w:val="0"/>
                                <w:numId w:val="3"/>
                              </w:numPr>
                              <w:shd w:val="clear" w:color="auto" w:fill="FFFFFF"/>
                              <w:spacing w:after="100"/>
                              <w:rPr>
                                <w:sz w:val="24"/>
                                <w:szCs w:val="24"/>
                                <w:lang w:val="en-US"/>
                              </w:rPr>
                            </w:pPr>
                            <w:r>
                              <w:rPr>
                                <w:sz w:val="24"/>
                                <w:szCs w:val="24"/>
                                <w:lang w:val="en-US"/>
                              </w:rPr>
                              <w:t xml:space="preserve">Projects spanning 2 fiscal years (April 2024 to March 2026) may be permitted </w:t>
                            </w:r>
                            <w:r>
                              <w:rPr>
                                <w:b/>
                                <w:bCs/>
                                <w:sz w:val="24"/>
                                <w:szCs w:val="24"/>
                                <w:lang w:val="en-US"/>
                              </w:rPr>
                              <w:t>on an exceptional basis</w:t>
                            </w:r>
                            <w:r>
                              <w:rPr>
                                <w:sz w:val="24"/>
                                <w:szCs w:val="24"/>
                                <w:lang w:val="en-US"/>
                              </w:rPr>
                              <w:t xml:space="preserve"> depending on the project objectives and the complexity of activities. </w:t>
                            </w:r>
                          </w:p>
                        </w:txbxContent>
                      </wps:txbx>
                      <wps:bodyPr wrap="square" lIns="45719" tIns="45719" rIns="45719" bIns="45719" numCol="1" anchor="t">
                        <a:noAutofit/>
                      </wps:bodyPr>
                    </wps:wsp>
                  </a:graphicData>
                </a:graphic>
              </wp:anchor>
            </w:drawing>
          </mc:Choice>
          <mc:Fallback>
            <w:pict>
              <v:shape w14:anchorId="43A78AA7" id="_x0000_s1027" type="#_x0000_t202" alt="Text Box 2" style="position:absolute;margin-left:17.95pt;margin-top:23.7pt;width:466.9pt;height:452.65pt;z-index:251660288;visibility:visible;mso-wrap-style:square;mso-wrap-distance-left:6.3pt;mso-wrap-distance-top:6.3pt;mso-wrap-distance-right:6.3pt;mso-wrap-distance-bottom:6.3pt;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MI66AEAAOwDAAAOAAAAZHJzL2Uyb0RvYy54bWysU8GO2yAQvVfqPyDujZN0nU2sOKt2o1SV&#10;qrbSdj+AYIiRgKFAYufvO+A08bY9rcoBM8zwZubN8/qhN5qchA8KbE1nkyklwnJolD3U9PnH7t2S&#10;khCZbZgGK2p6FoE+bN6+WXeuEnNoQTfCEwSxoepcTdsYXVUUgbfCsDABJyw6JXjDIpr+UDSedYhu&#10;dDGfThdFB75xHrgIAW+3g5NuMr6UgsdvUgYRia4p1hbz7vO+T3uxWbPq4JlrFb+UwV5RhWHKYtIr&#10;1JZFRo5e/QVlFPcQQMYJB1OAlIqL3AN2M5v+0c1Ty5zIvSA5wV1pCv8Pln89PbnvnsT+I/Q4wERI&#10;50IV8DL100tv0hcrJehHCs9X2kQfCcfLcjVfLd6ji6OvvL9bLsoy4RS3586H+EmAIelQU49zyXSx&#10;05cQh9DfISlbAK2andI6G/6wf9SenBjOcJfXBf1FmLakq+mqnJdYCEMpSc2GJC/Cwhhtmte/0FI1&#10;WxbaIWtGSGGsMiqiYLUyNV2OX2ubvCJL7tLTjcd0iv2+J6oZcbyH5ozUd6i+moafR+YFJfqzxfHe&#10;lfezFcp1bPixsR8b9mgeAcmZUcIsbwH1PXRu4cMxglSZ4lTEkBJHkwyUVB7SRf5Js2M7R91+0s0v&#10;AAAA//8DAFBLAwQUAAYACAAAACEAwb8V5eEAAAAJAQAADwAAAGRycy9kb3ducmV2LnhtbEyPQU+D&#10;QBCF7yb+h82YeDF2EWkRZGmMiYkXD4V68DaFEUjZXcpu2+2/dzzp7U3ey3vfFOugR3Gi2Q3WKHhY&#10;RCDINLYdTKdgW7/dP4FwHk2LozWk4EIO1uX1VYF5a89mQ6fKd4JLjMtRQe/9lEvpmp40uoWdyLD3&#10;bWeNns+5k+2MZy7Xo4yjaCU1DoYXepzotadmXx21gsNl//lebXW4+0o8xRjqw8emVur2Jrw8g/AU&#10;/F8YfvEZHUpm2tmjaZ0YFTwuM04qSNIEBPvZKktB7Fgs4xRkWcj/H5Q/AAAA//8DAFBLAQItABQA&#10;BgAIAAAAIQC2gziS/gAAAOEBAAATAAAAAAAAAAAAAAAAAAAAAABbQ29udGVudF9UeXBlc10ueG1s&#10;UEsBAi0AFAAGAAgAAAAhADj9If/WAAAAlAEAAAsAAAAAAAAAAAAAAAAALwEAAF9yZWxzLy5yZWxz&#10;UEsBAi0AFAAGAAgAAAAhAJZgwjroAQAA7AMAAA4AAAAAAAAAAAAAAAAALgIAAGRycy9lMm9Eb2Mu&#10;eG1sUEsBAi0AFAAGAAgAAAAhAMG/FeXhAAAACQEAAA8AAAAAAAAAAAAAAAAAQgQAAGRycy9kb3du&#10;cmV2LnhtbFBLBQYAAAAABAAEAPMAAABQBQAAAAA=&#10;">
                <v:textbox inset="1.27mm,1.27mm,1.27mm,1.27mm">
                  <w:txbxContent>
                    <w:p w14:paraId="7B8DDAF0" w14:textId="7570F6F2" w:rsidR="00FB0FAA" w:rsidRDefault="006F672A">
                      <w:pPr>
                        <w:pStyle w:val="Body"/>
                        <w:numPr>
                          <w:ilvl w:val="0"/>
                          <w:numId w:val="3"/>
                        </w:numPr>
                        <w:shd w:val="clear" w:color="auto" w:fill="FFFFFF"/>
                        <w:spacing w:after="0"/>
                        <w:rPr>
                          <w:sz w:val="24"/>
                          <w:szCs w:val="24"/>
                          <w:lang w:val="en-US"/>
                        </w:rPr>
                      </w:pPr>
                      <w:r>
                        <w:rPr>
                          <w:sz w:val="24"/>
                          <w:szCs w:val="24"/>
                          <w:lang w:val="en-US"/>
                        </w:rPr>
                        <w:t xml:space="preserve">All projects must be completed between the date of </w:t>
                      </w:r>
                      <w:r>
                        <w:rPr>
                          <w:sz w:val="24"/>
                          <w:szCs w:val="24"/>
                          <w:lang w:val="en-US"/>
                        </w:rPr>
                        <w:t xml:space="preserve">signature of the Contribution Agreement and </w:t>
                      </w:r>
                      <w:r>
                        <w:rPr>
                          <w:b/>
                          <w:bCs/>
                          <w:sz w:val="24"/>
                          <w:szCs w:val="24"/>
                          <w:lang w:val="en-US"/>
                        </w:rPr>
                        <w:t>March 9th</w:t>
                      </w:r>
                      <w:r w:rsidR="00400D0A">
                        <w:rPr>
                          <w:b/>
                          <w:bCs/>
                          <w:sz w:val="24"/>
                          <w:szCs w:val="24"/>
                          <w:lang w:val="en-US"/>
                        </w:rPr>
                        <w:t>, 2025.</w:t>
                      </w:r>
                    </w:p>
                    <w:p w14:paraId="0C151743" w14:textId="77777777" w:rsidR="00FB0FAA" w:rsidRDefault="006F672A">
                      <w:pPr>
                        <w:pStyle w:val="Body"/>
                        <w:numPr>
                          <w:ilvl w:val="0"/>
                          <w:numId w:val="3"/>
                        </w:numPr>
                        <w:shd w:val="clear" w:color="auto" w:fill="FFFFFF"/>
                        <w:spacing w:after="0"/>
                        <w:rPr>
                          <w:sz w:val="24"/>
                          <w:szCs w:val="24"/>
                          <w:lang w:val="en-US"/>
                        </w:rPr>
                      </w:pPr>
                      <w:r>
                        <w:rPr>
                          <w:b/>
                          <w:bCs/>
                          <w:sz w:val="24"/>
                          <w:szCs w:val="24"/>
                          <w:lang w:val="en-US"/>
                        </w:rPr>
                        <w:t xml:space="preserve">The deadline for submission is March 3rd 2024 </w:t>
                      </w:r>
                      <w:r>
                        <w:rPr>
                          <w:b/>
                          <w:bCs/>
                          <w:sz w:val="24"/>
                          <w:szCs w:val="24"/>
                        </w:rPr>
                        <w:t xml:space="preserve">at 23:59 (GMT+13:00). </w:t>
                      </w:r>
                      <w:r>
                        <w:rPr>
                          <w:sz w:val="24"/>
                          <w:szCs w:val="24"/>
                          <w:lang w:val="en-US"/>
                        </w:rPr>
                        <w:t xml:space="preserve">Applications submitted after this deadline </w:t>
                      </w:r>
                      <w:r>
                        <w:rPr>
                          <w:b/>
                          <w:bCs/>
                          <w:sz w:val="24"/>
                          <w:szCs w:val="24"/>
                          <w:lang w:val="en-US"/>
                        </w:rPr>
                        <w:t>will not be considered</w:t>
                      </w:r>
                      <w:r>
                        <w:rPr>
                          <w:sz w:val="24"/>
                          <w:szCs w:val="24"/>
                        </w:rPr>
                        <w:t>.</w:t>
                      </w:r>
                      <w:r>
                        <w:rPr>
                          <w:b/>
                          <w:bCs/>
                          <w:sz w:val="24"/>
                          <w:szCs w:val="24"/>
                        </w:rPr>
                        <w:t xml:space="preserve"> </w:t>
                      </w:r>
                      <w:r>
                        <w:rPr>
                          <w:sz w:val="24"/>
                          <w:szCs w:val="24"/>
                          <w:lang w:val="en-US"/>
                        </w:rPr>
                        <w:t xml:space="preserve">Proposals should be submitted electronically to: </w:t>
                      </w:r>
                      <w:bookmarkStart w:id="2" w:name="_Hlk158278459"/>
                      <w:r>
                        <w:rPr>
                          <w:rStyle w:val="Link"/>
                        </w:rPr>
                        <w:fldChar w:fldCharType="begin"/>
                      </w:r>
                      <w:r>
                        <w:rPr>
                          <w:rStyle w:val="Link"/>
                          <w:sz w:val="24"/>
                          <w:szCs w:val="24"/>
                        </w:rPr>
                        <w:instrText xml:space="preserve"> HYPERLINK "m</w:instrText>
                      </w:r>
                      <w:r>
                        <w:rPr>
                          <w:rStyle w:val="Link"/>
                          <w:sz w:val="24"/>
                          <w:szCs w:val="24"/>
                        </w:rPr>
                        <w:instrText>ailto:WLGTN.Canada-Fund@international.gc.ca"</w:instrText>
                      </w:r>
                      <w:r>
                        <w:rPr>
                          <w:rStyle w:val="Link"/>
                        </w:rPr>
                      </w:r>
                      <w:r>
                        <w:rPr>
                          <w:rStyle w:val="Link"/>
                        </w:rPr>
                        <w:fldChar w:fldCharType="separate"/>
                      </w:r>
                      <w:r>
                        <w:rPr>
                          <w:rStyle w:val="Link"/>
                          <w:sz w:val="24"/>
                          <w:szCs w:val="24"/>
                          <w:lang w:val="it-IT"/>
                        </w:rPr>
                        <w:t>WLGTN.Canada-Fund@international.gc.ca</w:t>
                      </w:r>
                      <w:r>
                        <w:rPr>
                          <w:sz w:val="24"/>
                          <w:szCs w:val="24"/>
                        </w:rPr>
                        <w:fldChar w:fldCharType="end"/>
                      </w:r>
                      <w:r>
                        <w:rPr>
                          <w:sz w:val="24"/>
                          <w:szCs w:val="24"/>
                        </w:rPr>
                        <w:t xml:space="preserve"> </w:t>
                      </w:r>
                      <w:bookmarkEnd w:id="2"/>
                    </w:p>
                    <w:p w14:paraId="202A1260" w14:textId="72605305" w:rsidR="00FB0FAA" w:rsidRDefault="006F672A">
                      <w:pPr>
                        <w:pStyle w:val="Body"/>
                        <w:numPr>
                          <w:ilvl w:val="0"/>
                          <w:numId w:val="3"/>
                        </w:numPr>
                        <w:shd w:val="clear" w:color="auto" w:fill="FFFFFF"/>
                        <w:spacing w:after="100"/>
                        <w:rPr>
                          <w:b/>
                          <w:bCs/>
                          <w:sz w:val="24"/>
                          <w:szCs w:val="24"/>
                          <w:lang w:val="en-US"/>
                        </w:rPr>
                      </w:pPr>
                      <w:r>
                        <w:rPr>
                          <w:b/>
                          <w:bCs/>
                          <w:sz w:val="24"/>
                          <w:szCs w:val="24"/>
                          <w:lang w:val="en-US"/>
                        </w:rPr>
                        <w:t xml:space="preserve">Only those proposals using the designated application form and including the required budget document will be considered: </w:t>
                      </w:r>
                      <w:hyperlink r:id="rId13" w:history="1">
                        <w:r>
                          <w:rPr>
                            <w:rStyle w:val="Link"/>
                            <w:b/>
                            <w:bCs/>
                            <w:sz w:val="24"/>
                            <w:szCs w:val="24"/>
                            <w:lang w:val="en-US"/>
                          </w:rPr>
                          <w:t>Canada Fund for Local Initiatives (CFLI) Project Application for Funding Form</w:t>
                        </w:r>
                      </w:hyperlink>
                      <w:r>
                        <w:rPr>
                          <w:rStyle w:val="Link"/>
                          <w:b/>
                          <w:bCs/>
                          <w:sz w:val="24"/>
                          <w:szCs w:val="24"/>
                        </w:rPr>
                        <w:t xml:space="preserve"> </w:t>
                      </w:r>
                      <w:r>
                        <w:rPr>
                          <w:rStyle w:val="Link"/>
                          <w:color w:val="000000"/>
                          <w:sz w:val="24"/>
                          <w:szCs w:val="24"/>
                          <w:u w:val="none" w:color="000000"/>
                        </w:rPr>
                        <w:t xml:space="preserve">(.pdf, 249.15 KB – </w:t>
                      </w:r>
                      <w:r>
                        <w:rPr>
                          <w:rStyle w:val="Link"/>
                          <w:color w:val="000000"/>
                          <w:sz w:val="24"/>
                          <w:szCs w:val="24"/>
                          <w:u w:val="none" w:color="000000"/>
                          <w:lang w:val="en-US"/>
                        </w:rPr>
                        <w:t xml:space="preserve">a help page is available online: </w:t>
                      </w:r>
                      <w:hyperlink r:id="rId14" w:history="1">
                        <w:r>
                          <w:rPr>
                            <w:rStyle w:val="Hyperlink1"/>
                            <w:sz w:val="24"/>
                            <w:szCs w:val="24"/>
                            <w:lang w:val="en-US"/>
                          </w:rPr>
                          <w:t>Help: Opening PDFs on your computer</w:t>
                        </w:r>
                      </w:hyperlink>
                      <w:r>
                        <w:rPr>
                          <w:rStyle w:val="Link"/>
                          <w:color w:val="000000"/>
                          <w:sz w:val="24"/>
                          <w:szCs w:val="24"/>
                          <w:u w:val="none" w:color="000000"/>
                        </w:rPr>
                        <w:t>).</w:t>
                      </w:r>
                      <w:r w:rsidR="00400D0A">
                        <w:rPr>
                          <w:rStyle w:val="Link"/>
                          <w:color w:val="000000"/>
                          <w:sz w:val="24"/>
                          <w:szCs w:val="24"/>
                          <w:u w:val="none" w:color="000000"/>
                        </w:rPr>
                        <w:t xml:space="preserve"> </w:t>
                      </w:r>
                      <w:r w:rsidR="00400D0A" w:rsidRPr="00670A43">
                        <w:rPr>
                          <w:rStyle w:val="Link"/>
                          <w:i/>
                          <w:iCs/>
                          <w:color w:val="000000"/>
                          <w:sz w:val="24"/>
                          <w:szCs w:val="24"/>
                          <w:u w:val="none" w:color="000000"/>
                        </w:rPr>
                        <w:t>If more convenient,</w:t>
                      </w:r>
                      <w:r w:rsidRPr="00670A43">
                        <w:rPr>
                          <w:rStyle w:val="Link"/>
                          <w:b/>
                          <w:bCs/>
                          <w:i/>
                          <w:iCs/>
                          <w:color w:val="000000"/>
                          <w:sz w:val="24"/>
                          <w:szCs w:val="24"/>
                          <w:u w:val="none" w:color="000000"/>
                        </w:rPr>
                        <w:t xml:space="preserve"> </w:t>
                      </w:r>
                      <w:r w:rsidR="00400D0A" w:rsidRPr="00670A43">
                        <w:rPr>
                          <w:rStyle w:val="Link"/>
                          <w:i/>
                          <w:iCs/>
                          <w:color w:val="000000"/>
                          <w:sz w:val="24"/>
                          <w:szCs w:val="24"/>
                          <w:u w:val="none" w:color="000000"/>
                        </w:rPr>
                        <w:t>a</w:t>
                      </w:r>
                      <w:r w:rsidR="00400D0A" w:rsidRPr="00670A43">
                        <w:rPr>
                          <w:rStyle w:val="Link"/>
                          <w:i/>
                          <w:iCs/>
                          <w:color w:val="000000"/>
                          <w:sz w:val="24"/>
                          <w:szCs w:val="24"/>
                          <w:u w:val="none" w:color="000000"/>
                        </w:rPr>
                        <w:t xml:space="preserve"> .doc version of the form can also be requested from the </w:t>
                      </w:r>
                      <w:r w:rsidR="00400D0A" w:rsidRPr="00670A43">
                        <w:rPr>
                          <w:rStyle w:val="Link"/>
                          <w:i/>
                          <w:iCs/>
                          <w:color w:val="000000"/>
                          <w:sz w:val="24"/>
                          <w:szCs w:val="24"/>
                          <w:u w:val="none" w:color="000000"/>
                        </w:rPr>
                        <w:t>High Commission</w:t>
                      </w:r>
                      <w:r w:rsidR="00400D0A" w:rsidRPr="00400D0A">
                        <w:rPr>
                          <w:rStyle w:val="Link"/>
                          <w:i/>
                          <w:iCs/>
                          <w:color w:val="000000"/>
                          <w:sz w:val="24"/>
                          <w:szCs w:val="24"/>
                          <w:u w:val="none" w:color="000000"/>
                        </w:rPr>
                        <w:t xml:space="preserve"> electronically: </w:t>
                      </w:r>
                      <w:hyperlink r:id="rId15" w:history="1">
                        <w:r w:rsidR="00400D0A">
                          <w:rPr>
                            <w:rStyle w:val="Link"/>
                            <w:sz w:val="24"/>
                            <w:szCs w:val="24"/>
                            <w:lang w:val="it-IT"/>
                          </w:rPr>
                          <w:t>WLGTN.Canada-Fund@international.gc.ca</w:t>
                        </w:r>
                      </w:hyperlink>
                      <w:r w:rsidR="00400D0A">
                        <w:rPr>
                          <w:rStyle w:val="Link"/>
                          <w:b/>
                          <w:bCs/>
                          <w:i/>
                          <w:iCs/>
                          <w:color w:val="000000"/>
                          <w:sz w:val="24"/>
                          <w:szCs w:val="24"/>
                          <w:u w:val="none" w:color="000000"/>
                        </w:rPr>
                        <w:t xml:space="preserve"> </w:t>
                      </w:r>
                    </w:p>
                    <w:p w14:paraId="090FA6B9" w14:textId="77777777" w:rsidR="00FB0FAA" w:rsidRDefault="006F672A">
                      <w:pPr>
                        <w:pStyle w:val="Body"/>
                        <w:numPr>
                          <w:ilvl w:val="0"/>
                          <w:numId w:val="3"/>
                        </w:numPr>
                        <w:shd w:val="clear" w:color="auto" w:fill="FFFFFF"/>
                        <w:spacing w:after="100"/>
                        <w:rPr>
                          <w:sz w:val="24"/>
                          <w:szCs w:val="24"/>
                          <w:lang w:val="en-US"/>
                        </w:rPr>
                      </w:pPr>
                      <w:r>
                        <w:rPr>
                          <w:sz w:val="24"/>
                          <w:szCs w:val="24"/>
                          <w:lang w:val="en-US"/>
                        </w:rPr>
                        <w:t>For more information on the types of activities and</w:t>
                      </w:r>
                      <w:r>
                        <w:rPr>
                          <w:sz w:val="24"/>
                          <w:szCs w:val="24"/>
                          <w:lang w:val="en-US"/>
                        </w:rPr>
                        <w:t xml:space="preserve"> costs that are eligible for CFLI funding, please refer to the list of CFLI approved activities and costs.</w:t>
                      </w:r>
                    </w:p>
                    <w:p w14:paraId="387BC360" w14:textId="77777777" w:rsidR="00FB0FAA" w:rsidRDefault="006F672A">
                      <w:pPr>
                        <w:pStyle w:val="Body"/>
                        <w:numPr>
                          <w:ilvl w:val="0"/>
                          <w:numId w:val="3"/>
                        </w:numPr>
                        <w:shd w:val="clear" w:color="auto" w:fill="FFFFFF"/>
                        <w:spacing w:after="100"/>
                        <w:rPr>
                          <w:sz w:val="24"/>
                          <w:szCs w:val="24"/>
                          <w:lang w:val="en-US"/>
                        </w:rPr>
                      </w:pPr>
                      <w:r>
                        <w:rPr>
                          <w:sz w:val="24"/>
                          <w:szCs w:val="24"/>
                          <w:lang w:val="en-US"/>
                        </w:rPr>
                        <w:t>Proposals must be completed in English or French.</w:t>
                      </w:r>
                    </w:p>
                    <w:p w14:paraId="7F030E3E" w14:textId="77777777" w:rsidR="00FB0FAA" w:rsidRDefault="006F672A">
                      <w:pPr>
                        <w:pStyle w:val="Body"/>
                        <w:numPr>
                          <w:ilvl w:val="0"/>
                          <w:numId w:val="3"/>
                        </w:numPr>
                        <w:shd w:val="clear" w:color="auto" w:fill="FFFFFF"/>
                        <w:spacing w:after="100"/>
                        <w:rPr>
                          <w:sz w:val="24"/>
                          <w:szCs w:val="24"/>
                          <w:lang w:val="en-US"/>
                        </w:rPr>
                      </w:pPr>
                      <w:r>
                        <w:rPr>
                          <w:sz w:val="24"/>
                          <w:szCs w:val="24"/>
                          <w:lang w:val="en-US"/>
                        </w:rPr>
                        <w:t>Project proposals must explicitly answer all questions in the CFLI project application form, includ</w:t>
                      </w:r>
                      <w:r>
                        <w:rPr>
                          <w:sz w:val="24"/>
                          <w:szCs w:val="24"/>
                          <w:lang w:val="en-US"/>
                        </w:rPr>
                        <w:t xml:space="preserve">ing the required gender-based analysis. The proposed project budget should summarize the proposed activities and associated costs. </w:t>
                      </w:r>
                    </w:p>
                    <w:p w14:paraId="33464E98" w14:textId="77777777" w:rsidR="00FB0FAA" w:rsidRDefault="006F672A">
                      <w:pPr>
                        <w:pStyle w:val="Body"/>
                        <w:numPr>
                          <w:ilvl w:val="0"/>
                          <w:numId w:val="3"/>
                        </w:numPr>
                        <w:shd w:val="clear" w:color="auto" w:fill="FFFFFF"/>
                        <w:spacing w:after="100"/>
                        <w:rPr>
                          <w:sz w:val="24"/>
                          <w:szCs w:val="24"/>
                          <w:lang w:val="en-US"/>
                        </w:rPr>
                      </w:pPr>
                      <w:r>
                        <w:rPr>
                          <w:sz w:val="24"/>
                          <w:szCs w:val="24"/>
                          <w:lang w:val="en-US"/>
                        </w:rPr>
                        <w:t xml:space="preserve">Applications will be assessed for approval on their merits by a selection committee. </w:t>
                      </w:r>
                    </w:p>
                    <w:p w14:paraId="2B41F09E" w14:textId="77777777" w:rsidR="00FB0FAA" w:rsidRDefault="006F672A">
                      <w:pPr>
                        <w:pStyle w:val="Body"/>
                        <w:numPr>
                          <w:ilvl w:val="0"/>
                          <w:numId w:val="3"/>
                        </w:numPr>
                        <w:shd w:val="clear" w:color="auto" w:fill="FFFFFF"/>
                        <w:spacing w:after="100"/>
                        <w:rPr>
                          <w:sz w:val="24"/>
                          <w:szCs w:val="24"/>
                          <w:lang w:val="en-US"/>
                        </w:rPr>
                      </w:pPr>
                      <w:r>
                        <w:rPr>
                          <w:sz w:val="24"/>
                          <w:szCs w:val="24"/>
                          <w:lang w:val="en-US"/>
                        </w:rPr>
                        <w:t xml:space="preserve">Due to the large number of </w:t>
                      </w:r>
                      <w:r>
                        <w:rPr>
                          <w:sz w:val="24"/>
                          <w:szCs w:val="24"/>
                          <w:lang w:val="en-US"/>
                        </w:rPr>
                        <w:t>applicants, only the successful candidates will be contacted.</w:t>
                      </w:r>
                    </w:p>
                    <w:p w14:paraId="1BB8973F" w14:textId="77777777" w:rsidR="00FB0FAA" w:rsidRDefault="006F672A">
                      <w:pPr>
                        <w:pStyle w:val="Body"/>
                        <w:numPr>
                          <w:ilvl w:val="0"/>
                          <w:numId w:val="3"/>
                        </w:numPr>
                        <w:shd w:val="clear" w:color="auto" w:fill="FFFFFF"/>
                        <w:spacing w:after="100"/>
                        <w:rPr>
                          <w:sz w:val="24"/>
                          <w:szCs w:val="24"/>
                          <w:lang w:val="en-US"/>
                        </w:rPr>
                      </w:pPr>
                      <w:r>
                        <w:rPr>
                          <w:sz w:val="24"/>
                          <w:szCs w:val="24"/>
                          <w:lang w:val="en-US"/>
                        </w:rPr>
                        <w:t xml:space="preserve">For questions about the application process, please contact the CFLI Coordinator by email at </w:t>
                      </w:r>
                      <w:hyperlink r:id="rId16" w:history="1">
                        <w:r>
                          <w:rPr>
                            <w:rStyle w:val="Link"/>
                            <w:sz w:val="24"/>
                            <w:szCs w:val="24"/>
                            <w:lang w:val="it-IT"/>
                          </w:rPr>
                          <w:t>WLGTN.Canada-Fund@international.gc.ca</w:t>
                        </w:r>
                      </w:hyperlink>
                      <w:r>
                        <w:rPr>
                          <w:color w:val="0070C0"/>
                          <w:sz w:val="24"/>
                          <w:szCs w:val="24"/>
                          <w:u w:color="0070C0"/>
                        </w:rPr>
                        <w:t xml:space="preserve"> </w:t>
                      </w:r>
                    </w:p>
                    <w:p w14:paraId="138F080F" w14:textId="77777777" w:rsidR="00FB0FAA" w:rsidRDefault="006F672A">
                      <w:pPr>
                        <w:pStyle w:val="Body"/>
                        <w:numPr>
                          <w:ilvl w:val="0"/>
                          <w:numId w:val="3"/>
                        </w:numPr>
                        <w:shd w:val="clear" w:color="auto" w:fill="FFFFFF"/>
                        <w:spacing w:after="100"/>
                        <w:rPr>
                          <w:sz w:val="24"/>
                          <w:szCs w:val="24"/>
                          <w:lang w:val="en-US"/>
                        </w:rPr>
                      </w:pPr>
                      <w:r>
                        <w:rPr>
                          <w:sz w:val="24"/>
                          <w:szCs w:val="24"/>
                          <w:lang w:val="en-US"/>
                        </w:rPr>
                        <w:t>Project applications are kept on file at missions in accordance with Global Affairs Canada</w:t>
                      </w:r>
                      <w:r>
                        <w:rPr>
                          <w:sz w:val="24"/>
                          <w:szCs w:val="24"/>
                          <w:rtl/>
                        </w:rPr>
                        <w:t>’</w:t>
                      </w:r>
                      <w:r w:rsidRPr="00400D0A">
                        <w:rPr>
                          <w:sz w:val="24"/>
                          <w:szCs w:val="24"/>
                        </w:rPr>
                        <w:t>s information management policies.</w:t>
                      </w:r>
                    </w:p>
                    <w:p w14:paraId="7134D574" w14:textId="77777777" w:rsidR="00FB0FAA" w:rsidRDefault="006F672A">
                      <w:pPr>
                        <w:pStyle w:val="Body"/>
                        <w:numPr>
                          <w:ilvl w:val="0"/>
                          <w:numId w:val="3"/>
                        </w:numPr>
                        <w:shd w:val="clear" w:color="auto" w:fill="FFFFFF"/>
                        <w:spacing w:after="100"/>
                        <w:rPr>
                          <w:sz w:val="24"/>
                          <w:szCs w:val="24"/>
                          <w:lang w:val="en-US"/>
                        </w:rPr>
                      </w:pPr>
                      <w:r>
                        <w:rPr>
                          <w:sz w:val="24"/>
                          <w:szCs w:val="24"/>
                          <w:lang w:val="en-US"/>
                        </w:rPr>
                        <w:t xml:space="preserve">Projects spanning 2 fiscal years (April 2024 to March 2026) may be permitted </w:t>
                      </w:r>
                      <w:r>
                        <w:rPr>
                          <w:b/>
                          <w:bCs/>
                          <w:sz w:val="24"/>
                          <w:szCs w:val="24"/>
                          <w:lang w:val="en-US"/>
                        </w:rPr>
                        <w:t>on an exceptional ba</w:t>
                      </w:r>
                      <w:r>
                        <w:rPr>
                          <w:b/>
                          <w:bCs/>
                          <w:sz w:val="24"/>
                          <w:szCs w:val="24"/>
                          <w:lang w:val="en-US"/>
                        </w:rPr>
                        <w:t>sis</w:t>
                      </w:r>
                      <w:r>
                        <w:rPr>
                          <w:sz w:val="24"/>
                          <w:szCs w:val="24"/>
                          <w:lang w:val="en-US"/>
                        </w:rPr>
                        <w:t xml:space="preserve"> depending on the project objectives and the complexity of activities. </w:t>
                      </w:r>
                    </w:p>
                  </w:txbxContent>
                </v:textbox>
                <w10:wrap type="topAndBottom" anchorx="margin" anchory="line"/>
              </v:shape>
            </w:pict>
          </mc:Fallback>
        </mc:AlternateContent>
      </w:r>
    </w:p>
    <w:p w14:paraId="036AA488" w14:textId="77777777" w:rsidR="00FB0FAA" w:rsidRDefault="00FB0FAA">
      <w:pPr>
        <w:pStyle w:val="Body"/>
        <w:tabs>
          <w:tab w:val="left" w:pos="1080"/>
        </w:tabs>
        <w:spacing w:after="0"/>
        <w:rPr>
          <w:sz w:val="24"/>
          <w:szCs w:val="24"/>
        </w:rPr>
      </w:pPr>
    </w:p>
    <w:p w14:paraId="2569D2BB" w14:textId="77777777" w:rsidR="00FB0FAA" w:rsidRDefault="00FB0FAA">
      <w:pPr>
        <w:pStyle w:val="Body"/>
        <w:spacing w:after="0"/>
      </w:pPr>
    </w:p>
    <w:p w14:paraId="47A7EC99" w14:textId="17C0B637" w:rsidR="00FB0FAA" w:rsidRDefault="006F672A" w:rsidP="00400D0A">
      <w:pPr>
        <w:pStyle w:val="Body"/>
        <w:spacing w:after="0"/>
        <w:jc w:val="both"/>
        <w:rPr>
          <w:sz w:val="24"/>
          <w:szCs w:val="24"/>
        </w:rPr>
      </w:pPr>
      <w:r>
        <w:rPr>
          <w:sz w:val="24"/>
          <w:szCs w:val="24"/>
          <w:lang w:val="en-US"/>
        </w:rPr>
        <w:t xml:space="preserve">The majority of CFLI funding is to be directed toward local civil society organizations (including non-governmental organizations) and other institutions working at the local level. Other entities, such as international, intergovernmental, </w:t>
      </w:r>
      <w:proofErr w:type="gramStart"/>
      <w:r>
        <w:rPr>
          <w:sz w:val="24"/>
          <w:szCs w:val="24"/>
          <w:lang w:val="en-US"/>
        </w:rPr>
        <w:t>multilateral</w:t>
      </w:r>
      <w:proofErr w:type="gramEnd"/>
      <w:r>
        <w:rPr>
          <w:sz w:val="24"/>
          <w:szCs w:val="24"/>
          <w:lang w:val="en-US"/>
        </w:rPr>
        <w:t xml:space="preserve"> and regional organizations may be eligible for funding, provided they are working with local partners and on local projects that are consistent with the objectives of the CFLI. Similarly, municipal, </w:t>
      </w:r>
      <w:proofErr w:type="gramStart"/>
      <w:r>
        <w:rPr>
          <w:sz w:val="24"/>
          <w:szCs w:val="24"/>
          <w:lang w:val="en-US"/>
        </w:rPr>
        <w:t>regional</w:t>
      </w:r>
      <w:proofErr w:type="gramEnd"/>
      <w:r>
        <w:rPr>
          <w:sz w:val="24"/>
          <w:szCs w:val="24"/>
          <w:lang w:val="en-US"/>
        </w:rPr>
        <w:t xml:space="preserve"> and national government institutions may receive funding, provided that their projects are essentially local in nature. The CFLI is always looking to fund innovative projects that deliver measurable results.</w:t>
      </w:r>
    </w:p>
    <w:p w14:paraId="102C7796" w14:textId="77777777" w:rsidR="00FB0FAA" w:rsidRDefault="006F672A">
      <w:pPr>
        <w:pStyle w:val="Heading2"/>
        <w:spacing w:before="240" w:after="240"/>
        <w:rPr>
          <w:rFonts w:ascii="Calibri" w:eastAsia="Calibri" w:hAnsi="Calibri" w:cs="Calibri"/>
          <w:b/>
          <w:bCs/>
          <w:color w:val="000000"/>
          <w:u w:color="000000"/>
        </w:rPr>
      </w:pPr>
      <w:r>
        <w:rPr>
          <w:rFonts w:ascii="Calibri" w:hAnsi="Calibri"/>
          <w:b/>
          <w:bCs/>
          <w:color w:val="000000"/>
          <w:u w:color="000000"/>
          <w:lang w:val="de-DE"/>
        </w:rPr>
        <w:lastRenderedPageBreak/>
        <w:t>Thematic priorities</w:t>
      </w:r>
    </w:p>
    <w:p w14:paraId="3B603504" w14:textId="77777777" w:rsidR="00400D0A" w:rsidRDefault="006F672A" w:rsidP="00400D0A">
      <w:pPr>
        <w:pStyle w:val="Body"/>
        <w:rPr>
          <w:sz w:val="24"/>
          <w:szCs w:val="24"/>
        </w:rPr>
      </w:pPr>
      <w:r>
        <w:rPr>
          <w:rFonts w:eastAsia="Arial Unicode MS" w:cs="Arial Unicode MS"/>
          <w:sz w:val="24"/>
          <w:szCs w:val="24"/>
          <w:lang w:val="en-US"/>
        </w:rPr>
        <w:t>All projects must align with at least 1 of the following CFLI thematic priorities:</w:t>
      </w:r>
    </w:p>
    <w:p w14:paraId="69C721B7" w14:textId="42330C00" w:rsidR="00FB0FAA" w:rsidRDefault="006F672A" w:rsidP="00400D0A">
      <w:pPr>
        <w:pStyle w:val="Body"/>
        <w:rPr>
          <w:sz w:val="24"/>
          <w:szCs w:val="24"/>
        </w:rPr>
      </w:pPr>
      <w:r>
        <w:rPr>
          <w:noProof/>
          <w:sz w:val="24"/>
          <w:szCs w:val="24"/>
        </w:rPr>
        <mc:AlternateContent>
          <mc:Choice Requires="wps">
            <w:drawing>
              <wp:anchor distT="80010" distB="80010" distL="80010" distR="80010" simplePos="0" relativeHeight="251661312" behindDoc="0" locked="0" layoutInCell="1" allowOverlap="1" wp14:anchorId="5E928FBF" wp14:editId="37A18960">
                <wp:simplePos x="0" y="0"/>
                <wp:positionH relativeFrom="margin">
                  <wp:posOffset>13970</wp:posOffset>
                </wp:positionH>
                <wp:positionV relativeFrom="line">
                  <wp:posOffset>180340</wp:posOffset>
                </wp:positionV>
                <wp:extent cx="5929630" cy="2725222"/>
                <wp:effectExtent l="0" t="0" r="0" b="0"/>
                <wp:wrapSquare wrapText="bothSides" distT="80010" distB="80010" distL="80010" distR="80010"/>
                <wp:docPr id="1073741827" name="officeArt object" descr="Text Box 2"/>
                <wp:cNvGraphicFramePr/>
                <a:graphic xmlns:a="http://schemas.openxmlformats.org/drawingml/2006/main">
                  <a:graphicData uri="http://schemas.microsoft.com/office/word/2010/wordprocessingShape">
                    <wps:wsp>
                      <wps:cNvSpPr txBox="1"/>
                      <wps:spPr>
                        <a:xfrm>
                          <a:off x="0" y="0"/>
                          <a:ext cx="5929630" cy="2725222"/>
                        </a:xfrm>
                        <a:prstGeom prst="rect">
                          <a:avLst/>
                        </a:prstGeom>
                        <a:solidFill>
                          <a:srgbClr val="FFFFFF"/>
                        </a:solidFill>
                        <a:ln w="9525" cap="flat">
                          <a:solidFill>
                            <a:srgbClr val="000000"/>
                          </a:solidFill>
                          <a:prstDash val="solid"/>
                          <a:miter lim="800000"/>
                        </a:ln>
                        <a:effectLst/>
                      </wps:spPr>
                      <wps:txbx>
                        <w:txbxContent>
                          <w:p w14:paraId="43B43803" w14:textId="77777777" w:rsidR="00FB0FAA" w:rsidRDefault="006F672A">
                            <w:pPr>
                              <w:pStyle w:val="ListParagraph"/>
                              <w:numPr>
                                <w:ilvl w:val="0"/>
                                <w:numId w:val="4"/>
                              </w:numPr>
                              <w:rPr>
                                <w:sz w:val="24"/>
                                <w:szCs w:val="24"/>
                              </w:rPr>
                            </w:pPr>
                            <w:r>
                              <w:rPr>
                                <w:sz w:val="24"/>
                                <w:szCs w:val="24"/>
                              </w:rPr>
                              <w:t xml:space="preserve">Inclusive governance, including diversity and 2SLGBTQI+, democracy, human </w:t>
                            </w:r>
                            <w:proofErr w:type="gramStart"/>
                            <w:r>
                              <w:rPr>
                                <w:sz w:val="24"/>
                                <w:szCs w:val="24"/>
                              </w:rPr>
                              <w:t>rights</w:t>
                            </w:r>
                            <w:proofErr w:type="gramEnd"/>
                            <w:r>
                              <w:rPr>
                                <w:sz w:val="24"/>
                                <w:szCs w:val="24"/>
                              </w:rPr>
                              <w:t xml:space="preserve"> and the rule of law.</w:t>
                            </w:r>
                          </w:p>
                          <w:p w14:paraId="73D5AB4C" w14:textId="77777777" w:rsidR="00FB0FAA" w:rsidRDefault="006F672A">
                            <w:pPr>
                              <w:pStyle w:val="ListParagraph"/>
                              <w:numPr>
                                <w:ilvl w:val="0"/>
                                <w:numId w:val="4"/>
                              </w:numPr>
                              <w:rPr>
                                <w:sz w:val="24"/>
                                <w:szCs w:val="24"/>
                              </w:rPr>
                            </w:pPr>
                            <w:r>
                              <w:rPr>
                                <w:sz w:val="24"/>
                                <w:szCs w:val="24"/>
                              </w:rPr>
                              <w:t xml:space="preserve">Growth that works for everyone, including women's economic rights, decent </w:t>
                            </w:r>
                            <w:proofErr w:type="gramStart"/>
                            <w:r>
                              <w:rPr>
                                <w:sz w:val="24"/>
                                <w:szCs w:val="24"/>
                              </w:rPr>
                              <w:t>jobs</w:t>
                            </w:r>
                            <w:proofErr w:type="gramEnd"/>
                            <w:r>
                              <w:rPr>
                                <w:sz w:val="24"/>
                                <w:szCs w:val="24"/>
                              </w:rPr>
                              <w:t xml:space="preserve"> and entrepreneurship, investing in the poorest and most vulnerable, and safeguarding economic gains. </w:t>
                            </w:r>
                          </w:p>
                          <w:p w14:paraId="67196523" w14:textId="77777777" w:rsidR="00FB0FAA" w:rsidRDefault="006F672A">
                            <w:pPr>
                              <w:pStyle w:val="ListParagraph"/>
                              <w:numPr>
                                <w:ilvl w:val="0"/>
                                <w:numId w:val="4"/>
                              </w:numPr>
                              <w:rPr>
                                <w:sz w:val="24"/>
                                <w:szCs w:val="24"/>
                              </w:rPr>
                            </w:pPr>
                            <w:r>
                              <w:rPr>
                                <w:sz w:val="24"/>
                                <w:szCs w:val="24"/>
                              </w:rPr>
                              <w:t>Gender equality and the empowerment of women and girls.</w:t>
                            </w:r>
                          </w:p>
                          <w:p w14:paraId="5449EA85" w14:textId="77777777" w:rsidR="00FB0FAA" w:rsidRDefault="006F672A">
                            <w:pPr>
                              <w:pStyle w:val="ListParagraph"/>
                              <w:numPr>
                                <w:ilvl w:val="0"/>
                                <w:numId w:val="4"/>
                              </w:numPr>
                              <w:rPr>
                                <w:sz w:val="24"/>
                                <w:szCs w:val="24"/>
                              </w:rPr>
                            </w:pPr>
                            <w:r>
                              <w:rPr>
                                <w:sz w:val="24"/>
                                <w:szCs w:val="24"/>
                              </w:rPr>
                              <w:t xml:space="preserve">Human dignity, covering health, </w:t>
                            </w:r>
                            <w:proofErr w:type="gramStart"/>
                            <w:r>
                              <w:rPr>
                                <w:sz w:val="24"/>
                                <w:szCs w:val="24"/>
                              </w:rPr>
                              <w:t>education</w:t>
                            </w:r>
                            <w:proofErr w:type="gramEnd"/>
                            <w:r>
                              <w:rPr>
                                <w:sz w:val="24"/>
                                <w:szCs w:val="24"/>
                              </w:rPr>
                              <w:t xml:space="preserve"> and nutrition.</w:t>
                            </w:r>
                          </w:p>
                          <w:p w14:paraId="32B6E55B" w14:textId="77777777" w:rsidR="00FB0FAA" w:rsidRDefault="006F672A">
                            <w:pPr>
                              <w:pStyle w:val="ListParagraph"/>
                              <w:numPr>
                                <w:ilvl w:val="0"/>
                                <w:numId w:val="4"/>
                              </w:numPr>
                              <w:rPr>
                                <w:sz w:val="24"/>
                                <w:szCs w:val="24"/>
                              </w:rPr>
                            </w:pPr>
                            <w:r>
                              <w:rPr>
                                <w:sz w:val="24"/>
                                <w:szCs w:val="24"/>
                              </w:rPr>
                              <w:t xml:space="preserve">Environment and climate action focusing on adaptation and mitigation, as well as on water management. </w:t>
                            </w:r>
                          </w:p>
                        </w:txbxContent>
                      </wps:txbx>
                      <wps:bodyPr wrap="square" lIns="45719" tIns="45719" rIns="45719" bIns="45719" numCol="1" anchor="t">
                        <a:noAutofit/>
                      </wps:bodyPr>
                    </wps:wsp>
                  </a:graphicData>
                </a:graphic>
              </wp:anchor>
            </w:drawing>
          </mc:Choice>
          <mc:Fallback>
            <w:pict>
              <v:shape w14:anchorId="5E928FBF" id="_x0000_s1028" type="#_x0000_t202" alt="Text Box 2" style="position:absolute;margin-left:1.1pt;margin-top:14.2pt;width:466.9pt;height:214.6pt;z-index:251661312;visibility:visible;mso-wrap-style:square;mso-wrap-distance-left:6.3pt;mso-wrap-distance-top:6.3pt;mso-wrap-distance-right:6.3pt;mso-wrap-distance-bottom:6.3pt;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3Y6QEAAOwDAAAOAAAAZHJzL2Uyb0RvYy54bWysU8GO2yAQvVfqPyDujRO33t1YcVbtRqkq&#10;Vd1K2/0AgiFGAoYCiZ2/74DTxNvuqSoHzDDDm5k3z6v7wWhyFD4osA1dzOaUCMuhVXbf0Ocf23d3&#10;lITIbMs0WNHQkwj0fv32zap3tSihA90KTxDEhrp3De1idHVRBN4Jw8IMnLDolOANi2j6fdF61iO6&#10;0UU5n98UPfjWeeAiBLzdjE66zvhSCh4fpQwiEt1QrC3m3ed9l/ZivWL13jPXKX4ug/1DFYYpi0kv&#10;UBsWGTl49ReUUdxDABlnHEwBUioucg/YzWL+RzdPHXMi94LkBHehKfw/WP7t+OS+exKHTzDgABMh&#10;vQt1wMvUzyC9SV+slKAfKTxdaBNDJBwvq2W5vHmPLo6+8rasyrJMOMX1ufMhfhZgSDo01ONcMl3s&#10;+DXEMfR3SMoWQKt2q7TOht/vHrQnR4Yz3OZ1Rn8Rpi3pG7qsygoLYSglqdmY5EVYmKLN83oNLVWz&#10;YaEbs2aEFMZqoyIKVivT0Lvpa22TV2TJnXu68phOcdgNRLXIUAJKNztoT0h9j+praPh5YF5Qor9Y&#10;HO+H6naxRLlODT81dlPDHswDIDkLSpjlHaC+x84tfDxEkCpTfE2Jo0kGSioP6Sz/pNmpnaOuP+n6&#10;FwAAAP//AwBQSwMEFAAGAAgAAAAhAJe3TKvgAAAACAEAAA8AAABkcnMvZG93bnJldi54bWxMj8FO&#10;wzAQRO9I/IO1SFwQdQghlBCnQkhIXDg0KQdubrwkUeN1Grut+/csJzitRjOafVOuoh3FEWc/OFJw&#10;t0hAILXODNQp2DRvt0sQPmgyenSECs7oYVVdXpS6MO5EazzWoRNcQr7QCvoQpkJK3/ZotV+4CYm9&#10;bzdbHVjOnTSzPnG5HWWaJLm0eiD+0OsJX3tsd/XBKtifd5/v9cbGm68sYKpjs/9YN0pdX8WXZxAB&#10;Y/gLwy8+o0PFTFt3IOPFqCBNOchnmYFg++k+52lbBdnDYw6yKuX/AdUPAAAA//8DAFBLAQItABQA&#10;BgAIAAAAIQC2gziS/gAAAOEBAAATAAAAAAAAAAAAAAAAAAAAAABbQ29udGVudF9UeXBlc10ueG1s&#10;UEsBAi0AFAAGAAgAAAAhADj9If/WAAAAlAEAAAsAAAAAAAAAAAAAAAAALwEAAF9yZWxzLy5yZWxz&#10;UEsBAi0AFAAGAAgAAAAhAGfv/djpAQAA7AMAAA4AAAAAAAAAAAAAAAAALgIAAGRycy9lMm9Eb2Mu&#10;eG1sUEsBAi0AFAAGAAgAAAAhAJe3TKvgAAAACAEAAA8AAAAAAAAAAAAAAAAAQwQAAGRycy9kb3du&#10;cmV2LnhtbFBLBQYAAAAABAAEAPMAAABQBQAAAAA=&#10;">
                <v:textbox inset="1.27mm,1.27mm,1.27mm,1.27mm">
                  <w:txbxContent>
                    <w:p w14:paraId="43B43803" w14:textId="77777777" w:rsidR="00FB0FAA" w:rsidRDefault="006F672A">
                      <w:pPr>
                        <w:pStyle w:val="ListParagraph"/>
                        <w:numPr>
                          <w:ilvl w:val="0"/>
                          <w:numId w:val="4"/>
                        </w:numPr>
                        <w:rPr>
                          <w:sz w:val="24"/>
                          <w:szCs w:val="24"/>
                        </w:rPr>
                      </w:pPr>
                      <w:r>
                        <w:rPr>
                          <w:sz w:val="24"/>
                          <w:szCs w:val="24"/>
                        </w:rPr>
                        <w:t>Inclusive governance, including diversity and 2SLGBTQI+, democracy, human rights and the rule of law.</w:t>
                      </w:r>
                    </w:p>
                    <w:p w14:paraId="73D5AB4C" w14:textId="77777777" w:rsidR="00FB0FAA" w:rsidRDefault="006F672A">
                      <w:pPr>
                        <w:pStyle w:val="ListParagraph"/>
                        <w:numPr>
                          <w:ilvl w:val="0"/>
                          <w:numId w:val="4"/>
                        </w:numPr>
                        <w:rPr>
                          <w:sz w:val="24"/>
                          <w:szCs w:val="24"/>
                        </w:rPr>
                      </w:pPr>
                      <w:r>
                        <w:rPr>
                          <w:sz w:val="24"/>
                          <w:szCs w:val="24"/>
                        </w:rPr>
                        <w:t xml:space="preserve">Growth that works for everyone, including women's economic rights, decent jobs and entrepreneurship, investing in the poorest and most vulnerable, and safeguarding economic gains. </w:t>
                      </w:r>
                    </w:p>
                    <w:p w14:paraId="67196523" w14:textId="77777777" w:rsidR="00FB0FAA" w:rsidRDefault="006F672A">
                      <w:pPr>
                        <w:pStyle w:val="ListParagraph"/>
                        <w:numPr>
                          <w:ilvl w:val="0"/>
                          <w:numId w:val="4"/>
                        </w:numPr>
                        <w:rPr>
                          <w:sz w:val="24"/>
                          <w:szCs w:val="24"/>
                        </w:rPr>
                      </w:pPr>
                      <w:r>
                        <w:rPr>
                          <w:sz w:val="24"/>
                          <w:szCs w:val="24"/>
                        </w:rPr>
                        <w:t>Gender equality and the empowerment of women and girls.</w:t>
                      </w:r>
                    </w:p>
                    <w:p w14:paraId="5449EA85" w14:textId="77777777" w:rsidR="00FB0FAA" w:rsidRDefault="006F672A">
                      <w:pPr>
                        <w:pStyle w:val="ListParagraph"/>
                        <w:numPr>
                          <w:ilvl w:val="0"/>
                          <w:numId w:val="4"/>
                        </w:numPr>
                        <w:rPr>
                          <w:sz w:val="24"/>
                          <w:szCs w:val="24"/>
                        </w:rPr>
                      </w:pPr>
                      <w:r>
                        <w:rPr>
                          <w:sz w:val="24"/>
                          <w:szCs w:val="24"/>
                        </w:rPr>
                        <w:t>Human dignity, cove</w:t>
                      </w:r>
                      <w:r>
                        <w:rPr>
                          <w:sz w:val="24"/>
                          <w:szCs w:val="24"/>
                        </w:rPr>
                        <w:t>ring health, education and nutrition.</w:t>
                      </w:r>
                    </w:p>
                    <w:p w14:paraId="32B6E55B" w14:textId="77777777" w:rsidR="00FB0FAA" w:rsidRDefault="006F672A">
                      <w:pPr>
                        <w:pStyle w:val="ListParagraph"/>
                        <w:numPr>
                          <w:ilvl w:val="0"/>
                          <w:numId w:val="4"/>
                        </w:numPr>
                        <w:rPr>
                          <w:sz w:val="24"/>
                          <w:szCs w:val="24"/>
                        </w:rPr>
                      </w:pPr>
                      <w:r>
                        <w:rPr>
                          <w:sz w:val="24"/>
                          <w:szCs w:val="24"/>
                        </w:rPr>
                        <w:t xml:space="preserve">Environment and climate action focusing on adaptation and mitigation, as well as on water management. </w:t>
                      </w:r>
                    </w:p>
                  </w:txbxContent>
                </v:textbox>
                <w10:wrap type="square" anchorx="margin" anchory="line"/>
              </v:shape>
            </w:pict>
          </mc:Fallback>
        </mc:AlternateContent>
      </w:r>
    </w:p>
    <w:p w14:paraId="17656484" w14:textId="77777777" w:rsidR="00FB0FAA" w:rsidRDefault="006F672A">
      <w:pPr>
        <w:pStyle w:val="Heading2"/>
        <w:spacing w:before="240" w:after="240"/>
        <w:rPr>
          <w:rFonts w:ascii="Calibri" w:eastAsia="Calibri" w:hAnsi="Calibri" w:cs="Calibri"/>
          <w:b/>
          <w:bCs/>
          <w:color w:val="000000"/>
          <w:u w:color="000000"/>
        </w:rPr>
      </w:pPr>
      <w:r>
        <w:rPr>
          <w:rFonts w:ascii="Calibri" w:hAnsi="Calibri"/>
          <w:b/>
          <w:bCs/>
          <w:color w:val="000000"/>
          <w:u w:color="000000"/>
          <w:lang w:val="en-US"/>
        </w:rPr>
        <w:t>Gender-based analysis</w:t>
      </w:r>
    </w:p>
    <w:p w14:paraId="1F112FD3" w14:textId="3131E1C3" w:rsidR="00FB0FAA" w:rsidRDefault="006F672A" w:rsidP="00400D0A">
      <w:pPr>
        <w:pStyle w:val="Body"/>
        <w:jc w:val="both"/>
        <w:rPr>
          <w:sz w:val="24"/>
          <w:szCs w:val="24"/>
        </w:rPr>
      </w:pPr>
      <w:r>
        <w:rPr>
          <w:sz w:val="24"/>
          <w:szCs w:val="24"/>
          <w:lang w:val="en-US"/>
        </w:rPr>
        <w:t xml:space="preserve">In 2017, Canada adopted its Feminist International Assistance Policy to advance gender equality and the empowerment of women and girls as the most effective way to reduce poverty and build a more inclusive, </w:t>
      </w:r>
      <w:proofErr w:type="gramStart"/>
      <w:r>
        <w:rPr>
          <w:sz w:val="24"/>
          <w:szCs w:val="24"/>
          <w:lang w:val="en-US"/>
        </w:rPr>
        <w:t>peaceful</w:t>
      </w:r>
      <w:proofErr w:type="gramEnd"/>
      <w:r>
        <w:rPr>
          <w:sz w:val="24"/>
          <w:szCs w:val="24"/>
          <w:lang w:val="en-US"/>
        </w:rPr>
        <w:t xml:space="preserve"> and prosperous world. In alignment with this policy, the CFLI project application process now requires a gender-based analysis (GBA). The purpose of this change is to enhance the gender equality outcomes of the CFLI program. </w:t>
      </w:r>
    </w:p>
    <w:p w14:paraId="71646606" w14:textId="77777777" w:rsidR="00FB0FAA" w:rsidRDefault="006F672A">
      <w:pPr>
        <w:pStyle w:val="Body"/>
        <w:rPr>
          <w:sz w:val="24"/>
          <w:szCs w:val="24"/>
        </w:rPr>
      </w:pPr>
      <w:r>
        <w:rPr>
          <w:rFonts w:eastAsia="Arial Unicode MS" w:cs="Arial Unicode MS"/>
          <w:sz w:val="24"/>
          <w:szCs w:val="24"/>
          <w:lang w:val="en-US"/>
        </w:rPr>
        <w:t>A GBA will require applicants to:</w:t>
      </w:r>
    </w:p>
    <w:p w14:paraId="33AAF31C" w14:textId="77777777" w:rsidR="00FB0FAA" w:rsidRDefault="006F672A">
      <w:pPr>
        <w:pStyle w:val="ListParagraph"/>
        <w:numPr>
          <w:ilvl w:val="0"/>
          <w:numId w:val="6"/>
        </w:numPr>
        <w:rPr>
          <w:sz w:val="24"/>
          <w:szCs w:val="24"/>
        </w:rPr>
      </w:pPr>
      <w:r>
        <w:rPr>
          <w:sz w:val="24"/>
          <w:szCs w:val="24"/>
        </w:rPr>
        <w:t xml:space="preserve">consider how women, girls, men, and boys are affected differently by the problem their project is aiming to address, ensuring, at the same time, that the project does not cause </w:t>
      </w:r>
      <w:proofErr w:type="gramStart"/>
      <w:r>
        <w:rPr>
          <w:sz w:val="24"/>
          <w:szCs w:val="24"/>
        </w:rPr>
        <w:t>harm</w:t>
      </w:r>
      <w:proofErr w:type="gramEnd"/>
    </w:p>
    <w:p w14:paraId="403D479F" w14:textId="77777777" w:rsidR="00FB0FAA" w:rsidRDefault="006F672A">
      <w:pPr>
        <w:pStyle w:val="ListParagraph"/>
        <w:numPr>
          <w:ilvl w:val="0"/>
          <w:numId w:val="6"/>
        </w:numPr>
        <w:rPr>
          <w:sz w:val="24"/>
          <w:szCs w:val="24"/>
        </w:rPr>
      </w:pPr>
      <w:r>
        <w:rPr>
          <w:sz w:val="24"/>
          <w:szCs w:val="24"/>
        </w:rPr>
        <w:t xml:space="preserve">consult women and/or girls in the development of their project </w:t>
      </w:r>
      <w:proofErr w:type="gramStart"/>
      <w:r>
        <w:rPr>
          <w:sz w:val="24"/>
          <w:szCs w:val="24"/>
        </w:rPr>
        <w:t>proposal</w:t>
      </w:r>
      <w:proofErr w:type="gramEnd"/>
      <w:r>
        <w:rPr>
          <w:sz w:val="24"/>
          <w:szCs w:val="24"/>
        </w:rPr>
        <w:t xml:space="preserve"> </w:t>
      </w:r>
    </w:p>
    <w:p w14:paraId="09F17F6C" w14:textId="77777777" w:rsidR="00FB0FAA" w:rsidRDefault="006F672A">
      <w:pPr>
        <w:pStyle w:val="ListParagraph"/>
        <w:numPr>
          <w:ilvl w:val="0"/>
          <w:numId w:val="6"/>
        </w:numPr>
        <w:rPr>
          <w:sz w:val="24"/>
          <w:szCs w:val="24"/>
        </w:rPr>
      </w:pPr>
      <w:r>
        <w:rPr>
          <w:sz w:val="24"/>
          <w:szCs w:val="24"/>
        </w:rPr>
        <w:t xml:space="preserve">ensure that the views of those women and/or girls inform the project’s </w:t>
      </w:r>
      <w:proofErr w:type="gramStart"/>
      <w:r>
        <w:rPr>
          <w:sz w:val="24"/>
          <w:szCs w:val="24"/>
        </w:rPr>
        <w:t>design</w:t>
      </w:r>
      <w:proofErr w:type="gramEnd"/>
      <w:r>
        <w:rPr>
          <w:sz w:val="24"/>
          <w:szCs w:val="24"/>
        </w:rPr>
        <w:t xml:space="preserve"> </w:t>
      </w:r>
    </w:p>
    <w:p w14:paraId="10B211DA" w14:textId="77777777" w:rsidR="00FB0FAA" w:rsidRDefault="006F672A">
      <w:pPr>
        <w:pStyle w:val="Body"/>
        <w:jc w:val="both"/>
        <w:rPr>
          <w:sz w:val="24"/>
          <w:szCs w:val="24"/>
        </w:rPr>
      </w:pPr>
      <w:r>
        <w:rPr>
          <w:sz w:val="24"/>
          <w:szCs w:val="24"/>
          <w:lang w:val="en-US"/>
        </w:rPr>
        <w:t xml:space="preserve">Note that consultations can include, but are not limited to, speaking to women and girls from the local community, women and other individuals who work for civil society organizations that have worked in the local community and female and male decision and change makers who have knowledge of the local community. </w:t>
      </w:r>
    </w:p>
    <w:p w14:paraId="1A6393D7" w14:textId="77777777" w:rsidR="00FB0FAA" w:rsidRDefault="006F672A">
      <w:pPr>
        <w:pStyle w:val="Body"/>
        <w:rPr>
          <w:sz w:val="24"/>
          <w:szCs w:val="24"/>
        </w:rPr>
      </w:pPr>
      <w:r>
        <w:rPr>
          <w:rFonts w:eastAsia="Arial Unicode MS" w:cs="Arial Unicode MS"/>
          <w:sz w:val="24"/>
          <w:szCs w:val="24"/>
          <w:lang w:val="en-US"/>
        </w:rPr>
        <w:t>Inadequate completion of a GBA may affect the consideration of your proposal.</w:t>
      </w:r>
    </w:p>
    <w:p w14:paraId="116A4902" w14:textId="77777777" w:rsidR="00FB0FAA" w:rsidRDefault="00FB0FAA">
      <w:pPr>
        <w:pStyle w:val="Body"/>
        <w:rPr>
          <w:sz w:val="24"/>
          <w:szCs w:val="24"/>
        </w:rPr>
      </w:pPr>
    </w:p>
    <w:p w14:paraId="76CCFD14" w14:textId="61AEB05B" w:rsidR="00FB0FAA" w:rsidRPr="00400D0A" w:rsidRDefault="006F672A" w:rsidP="00400D0A">
      <w:pPr>
        <w:pStyle w:val="Heading2"/>
        <w:spacing w:before="240" w:after="240"/>
        <w:rPr>
          <w:rFonts w:ascii="Calibri" w:eastAsia="Calibri" w:hAnsi="Calibri" w:cs="Calibri"/>
          <w:b/>
          <w:bCs/>
          <w:color w:val="000000"/>
          <w:u w:color="000000"/>
        </w:rPr>
      </w:pPr>
      <w:r>
        <w:rPr>
          <w:rFonts w:ascii="Calibri" w:hAnsi="Calibri"/>
          <w:b/>
          <w:bCs/>
          <w:color w:val="000000"/>
          <w:u w:color="000000"/>
          <w:lang w:val="en-US"/>
        </w:rPr>
        <w:t xml:space="preserve">Eligible costs </w:t>
      </w:r>
    </w:p>
    <w:p w14:paraId="3115E3D3" w14:textId="77777777" w:rsidR="00FB0FAA" w:rsidRPr="00400D0A" w:rsidRDefault="006F672A">
      <w:pPr>
        <w:pStyle w:val="Heading2"/>
        <w:spacing w:before="240" w:after="240"/>
        <w:rPr>
          <w:rFonts w:ascii="Calibri" w:eastAsia="Calibri" w:hAnsi="Calibri" w:cs="Calibri"/>
          <w:b/>
          <w:bCs/>
          <w:color w:val="000000"/>
          <w:u w:color="000000"/>
        </w:rPr>
      </w:pPr>
      <w:r w:rsidRPr="00400D0A">
        <w:rPr>
          <w:rFonts w:ascii="Calibri" w:hAnsi="Calibri"/>
          <w:b/>
          <w:bCs/>
          <w:color w:val="000000"/>
          <w:sz w:val="24"/>
          <w:szCs w:val="24"/>
          <w:u w:color="000000"/>
          <w:lang w:val="en-US"/>
        </w:rPr>
        <w:t>The following project costs are eligible for CFLI funding:</w:t>
      </w:r>
    </w:p>
    <w:p w14:paraId="2FD1DD5C" w14:textId="2C2A9CC4" w:rsidR="00FB0FAA" w:rsidRDefault="006F672A">
      <w:pPr>
        <w:pStyle w:val="ListParagraph"/>
        <w:numPr>
          <w:ilvl w:val="0"/>
          <w:numId w:val="6"/>
        </w:numPr>
        <w:rPr>
          <w:sz w:val="24"/>
          <w:szCs w:val="24"/>
        </w:rPr>
      </w:pPr>
      <w:r>
        <w:rPr>
          <w:sz w:val="24"/>
          <w:szCs w:val="24"/>
        </w:rPr>
        <w:t>accounting costs</w:t>
      </w:r>
    </w:p>
    <w:p w14:paraId="2125E5BF" w14:textId="02A918D7" w:rsidR="00FB0FAA" w:rsidRDefault="006F672A">
      <w:pPr>
        <w:pStyle w:val="ListParagraph"/>
        <w:numPr>
          <w:ilvl w:val="0"/>
          <w:numId w:val="6"/>
        </w:numPr>
        <w:rPr>
          <w:sz w:val="24"/>
          <w:szCs w:val="24"/>
        </w:rPr>
      </w:pPr>
      <w:r>
        <w:rPr>
          <w:sz w:val="24"/>
          <w:szCs w:val="24"/>
        </w:rPr>
        <w:t>administrative and overhead costs related to the project (overhead should not exceed 15% of total CFLI contribution)</w:t>
      </w:r>
    </w:p>
    <w:p w14:paraId="45EB8343" w14:textId="77777777" w:rsidR="00FB0FAA" w:rsidRDefault="006F672A">
      <w:pPr>
        <w:pStyle w:val="ListParagraph"/>
        <w:numPr>
          <w:ilvl w:val="0"/>
          <w:numId w:val="6"/>
        </w:numPr>
        <w:rPr>
          <w:sz w:val="24"/>
          <w:szCs w:val="24"/>
        </w:rPr>
      </w:pPr>
      <w:r>
        <w:rPr>
          <w:sz w:val="24"/>
          <w:szCs w:val="24"/>
        </w:rPr>
        <w:t xml:space="preserve">advocacy and lobbying related </w:t>
      </w:r>
      <w:proofErr w:type="gramStart"/>
      <w:r>
        <w:rPr>
          <w:sz w:val="24"/>
          <w:szCs w:val="24"/>
        </w:rPr>
        <w:t>costs</w:t>
      </w:r>
      <w:proofErr w:type="gramEnd"/>
    </w:p>
    <w:p w14:paraId="771787FD" w14:textId="77777777" w:rsidR="00FB0FAA" w:rsidRDefault="006F672A">
      <w:pPr>
        <w:pStyle w:val="ListParagraph"/>
        <w:numPr>
          <w:ilvl w:val="0"/>
          <w:numId w:val="6"/>
        </w:numPr>
        <w:rPr>
          <w:sz w:val="24"/>
          <w:szCs w:val="24"/>
        </w:rPr>
      </w:pPr>
      <w:r>
        <w:rPr>
          <w:sz w:val="24"/>
          <w:szCs w:val="24"/>
        </w:rPr>
        <w:t xml:space="preserve">capital and/or operating expenditures related to the lease and/or purchase and/or building of </w:t>
      </w:r>
      <w:proofErr w:type="gramStart"/>
      <w:r>
        <w:rPr>
          <w:sz w:val="24"/>
          <w:szCs w:val="24"/>
        </w:rPr>
        <w:t>infrastructure</w:t>
      </w:r>
      <w:proofErr w:type="gramEnd"/>
    </w:p>
    <w:p w14:paraId="5CC8EF44" w14:textId="77777777" w:rsidR="00FB0FAA" w:rsidRDefault="006F672A">
      <w:pPr>
        <w:pStyle w:val="ListParagraph"/>
        <w:numPr>
          <w:ilvl w:val="0"/>
          <w:numId w:val="6"/>
        </w:numPr>
        <w:rPr>
          <w:sz w:val="24"/>
          <w:szCs w:val="24"/>
        </w:rPr>
      </w:pPr>
      <w:r>
        <w:rPr>
          <w:sz w:val="24"/>
          <w:szCs w:val="24"/>
        </w:rPr>
        <w:t>civic education costs</w:t>
      </w:r>
    </w:p>
    <w:p w14:paraId="238FF55F" w14:textId="77777777" w:rsidR="00FB0FAA" w:rsidRDefault="006F672A">
      <w:pPr>
        <w:pStyle w:val="ListParagraph"/>
        <w:numPr>
          <w:ilvl w:val="0"/>
          <w:numId w:val="6"/>
        </w:numPr>
        <w:rPr>
          <w:sz w:val="24"/>
          <w:szCs w:val="24"/>
        </w:rPr>
      </w:pPr>
      <w:r>
        <w:rPr>
          <w:sz w:val="24"/>
          <w:szCs w:val="24"/>
        </w:rPr>
        <w:t>conference and event expenditures</w:t>
      </w:r>
    </w:p>
    <w:p w14:paraId="64C5060A" w14:textId="77777777" w:rsidR="00FB0FAA" w:rsidRDefault="006F672A">
      <w:pPr>
        <w:pStyle w:val="ListParagraph"/>
        <w:numPr>
          <w:ilvl w:val="0"/>
          <w:numId w:val="6"/>
        </w:numPr>
        <w:rPr>
          <w:sz w:val="24"/>
          <w:szCs w:val="24"/>
        </w:rPr>
      </w:pPr>
      <w:r>
        <w:rPr>
          <w:sz w:val="24"/>
          <w:szCs w:val="24"/>
        </w:rPr>
        <w:t xml:space="preserve">costs of services received by </w:t>
      </w:r>
      <w:proofErr w:type="gramStart"/>
      <w:r>
        <w:rPr>
          <w:sz w:val="24"/>
          <w:szCs w:val="24"/>
        </w:rPr>
        <w:t>recipients</w:t>
      </w:r>
      <w:proofErr w:type="gramEnd"/>
    </w:p>
    <w:p w14:paraId="7585A73D" w14:textId="77777777" w:rsidR="00FB0FAA" w:rsidRDefault="006F672A">
      <w:pPr>
        <w:pStyle w:val="ListParagraph"/>
        <w:numPr>
          <w:ilvl w:val="0"/>
          <w:numId w:val="6"/>
        </w:numPr>
        <w:rPr>
          <w:sz w:val="24"/>
          <w:szCs w:val="24"/>
        </w:rPr>
      </w:pPr>
      <w:r>
        <w:rPr>
          <w:sz w:val="24"/>
          <w:szCs w:val="24"/>
        </w:rPr>
        <w:t xml:space="preserve">domestic travel expenses, using lowest fares possible but not exceeding full fare economy </w:t>
      </w:r>
      <w:proofErr w:type="gramStart"/>
      <w:r>
        <w:rPr>
          <w:sz w:val="24"/>
          <w:szCs w:val="24"/>
        </w:rPr>
        <w:t>class</w:t>
      </w:r>
      <w:proofErr w:type="gramEnd"/>
      <w:r>
        <w:rPr>
          <w:sz w:val="24"/>
          <w:szCs w:val="24"/>
        </w:rPr>
        <w:t xml:space="preserve"> </w:t>
      </w:r>
    </w:p>
    <w:p w14:paraId="236DC7CC" w14:textId="77777777" w:rsidR="00FB0FAA" w:rsidRDefault="006F672A">
      <w:pPr>
        <w:pStyle w:val="ListParagraph"/>
        <w:numPr>
          <w:ilvl w:val="0"/>
          <w:numId w:val="6"/>
        </w:numPr>
        <w:rPr>
          <w:sz w:val="24"/>
          <w:szCs w:val="24"/>
        </w:rPr>
      </w:pPr>
      <w:r>
        <w:rPr>
          <w:sz w:val="24"/>
          <w:szCs w:val="24"/>
        </w:rPr>
        <w:t>environmental assessment costs</w:t>
      </w:r>
    </w:p>
    <w:p w14:paraId="4596A1AB" w14:textId="79CCC892" w:rsidR="00FB0FAA" w:rsidRDefault="006F672A">
      <w:pPr>
        <w:pStyle w:val="ListParagraph"/>
        <w:numPr>
          <w:ilvl w:val="0"/>
          <w:numId w:val="6"/>
        </w:numPr>
        <w:rPr>
          <w:sz w:val="24"/>
          <w:szCs w:val="24"/>
        </w:rPr>
      </w:pPr>
      <w:r>
        <w:rPr>
          <w:sz w:val="24"/>
          <w:szCs w:val="24"/>
        </w:rPr>
        <w:t>facilities charges</w:t>
      </w:r>
    </w:p>
    <w:p w14:paraId="3EC4FEAE" w14:textId="403770D1" w:rsidR="00FB0FAA" w:rsidRDefault="006F672A">
      <w:pPr>
        <w:pStyle w:val="ListParagraph"/>
        <w:numPr>
          <w:ilvl w:val="0"/>
          <w:numId w:val="6"/>
        </w:numPr>
        <w:rPr>
          <w:sz w:val="24"/>
          <w:szCs w:val="24"/>
        </w:rPr>
      </w:pPr>
      <w:r>
        <w:rPr>
          <w:sz w:val="24"/>
          <w:szCs w:val="24"/>
        </w:rPr>
        <w:t>equipment rental, and/or purchase (only when the purchase is required to meet project objectives, reflects good value for money, and the recipient has a strong care-and-maintenance plan in place for equipment sustainability)</w:t>
      </w:r>
    </w:p>
    <w:p w14:paraId="266B1FB8" w14:textId="77777777" w:rsidR="00FB0FAA" w:rsidRDefault="006F672A">
      <w:pPr>
        <w:pStyle w:val="ListParagraph"/>
        <w:numPr>
          <w:ilvl w:val="0"/>
          <w:numId w:val="6"/>
        </w:numPr>
        <w:rPr>
          <w:sz w:val="24"/>
          <w:szCs w:val="24"/>
        </w:rPr>
      </w:pPr>
      <w:r>
        <w:rPr>
          <w:sz w:val="24"/>
          <w:szCs w:val="24"/>
        </w:rPr>
        <w:t xml:space="preserve">hospitality costs, excluding alcoholic </w:t>
      </w:r>
      <w:proofErr w:type="gramStart"/>
      <w:r>
        <w:rPr>
          <w:sz w:val="24"/>
          <w:szCs w:val="24"/>
        </w:rPr>
        <w:t>beverages</w:t>
      </w:r>
      <w:proofErr w:type="gramEnd"/>
    </w:p>
    <w:p w14:paraId="76ACACC2" w14:textId="29EFCB6F" w:rsidR="00FB0FAA" w:rsidRDefault="006F672A">
      <w:pPr>
        <w:pStyle w:val="ListParagraph"/>
        <w:numPr>
          <w:ilvl w:val="0"/>
          <w:numId w:val="6"/>
        </w:numPr>
        <w:rPr>
          <w:sz w:val="24"/>
          <w:szCs w:val="24"/>
        </w:rPr>
      </w:pPr>
      <w:r>
        <w:rPr>
          <w:sz w:val="24"/>
          <w:szCs w:val="24"/>
        </w:rPr>
        <w:t xml:space="preserve">installation, maintenance, shipping and/or transportation costs, including </w:t>
      </w:r>
      <w:proofErr w:type="gramStart"/>
      <w:r>
        <w:rPr>
          <w:sz w:val="24"/>
          <w:szCs w:val="24"/>
        </w:rPr>
        <w:t>fuel</w:t>
      </w:r>
      <w:proofErr w:type="gramEnd"/>
      <w:r>
        <w:rPr>
          <w:sz w:val="24"/>
          <w:szCs w:val="24"/>
        </w:rPr>
        <w:t xml:space="preserve"> </w:t>
      </w:r>
    </w:p>
    <w:p w14:paraId="596C834A" w14:textId="77777777" w:rsidR="00FB0FAA" w:rsidRDefault="006F672A">
      <w:pPr>
        <w:pStyle w:val="ListParagraph"/>
        <w:numPr>
          <w:ilvl w:val="0"/>
          <w:numId w:val="6"/>
        </w:numPr>
        <w:rPr>
          <w:sz w:val="24"/>
          <w:szCs w:val="24"/>
        </w:rPr>
      </w:pPr>
      <w:r>
        <w:rPr>
          <w:sz w:val="24"/>
          <w:szCs w:val="24"/>
        </w:rPr>
        <w:t>computers and communication devices</w:t>
      </w:r>
    </w:p>
    <w:p w14:paraId="32F58E9E" w14:textId="77777777" w:rsidR="00FB0FAA" w:rsidRDefault="006F672A">
      <w:pPr>
        <w:pStyle w:val="ListParagraph"/>
        <w:numPr>
          <w:ilvl w:val="0"/>
          <w:numId w:val="6"/>
        </w:numPr>
        <w:rPr>
          <w:sz w:val="24"/>
          <w:szCs w:val="24"/>
        </w:rPr>
      </w:pPr>
      <w:r>
        <w:rPr>
          <w:sz w:val="24"/>
          <w:szCs w:val="24"/>
        </w:rPr>
        <w:t>lease or rental of vehicles</w:t>
      </w:r>
    </w:p>
    <w:p w14:paraId="116D09FC" w14:textId="77777777" w:rsidR="00FB0FAA" w:rsidRDefault="006F672A">
      <w:pPr>
        <w:pStyle w:val="ListParagraph"/>
        <w:numPr>
          <w:ilvl w:val="0"/>
          <w:numId w:val="6"/>
        </w:numPr>
        <w:rPr>
          <w:sz w:val="24"/>
          <w:szCs w:val="24"/>
        </w:rPr>
      </w:pPr>
      <w:r>
        <w:rPr>
          <w:sz w:val="24"/>
          <w:szCs w:val="24"/>
        </w:rPr>
        <w:t>legal costs</w:t>
      </w:r>
    </w:p>
    <w:p w14:paraId="1F24C012" w14:textId="77777777" w:rsidR="00FB0FAA" w:rsidRDefault="006F672A">
      <w:pPr>
        <w:pStyle w:val="ListParagraph"/>
        <w:numPr>
          <w:ilvl w:val="0"/>
          <w:numId w:val="6"/>
        </w:numPr>
        <w:rPr>
          <w:sz w:val="24"/>
          <w:szCs w:val="24"/>
        </w:rPr>
      </w:pPr>
      <w:r>
        <w:rPr>
          <w:sz w:val="24"/>
          <w:szCs w:val="24"/>
        </w:rPr>
        <w:t>medical costs</w:t>
      </w:r>
    </w:p>
    <w:p w14:paraId="5FE93CDE" w14:textId="77777777" w:rsidR="00FB0FAA" w:rsidRDefault="006F672A">
      <w:pPr>
        <w:pStyle w:val="ListParagraph"/>
        <w:numPr>
          <w:ilvl w:val="0"/>
          <w:numId w:val="6"/>
        </w:numPr>
        <w:rPr>
          <w:sz w:val="24"/>
          <w:szCs w:val="24"/>
        </w:rPr>
      </w:pPr>
      <w:r>
        <w:rPr>
          <w:sz w:val="24"/>
          <w:szCs w:val="24"/>
        </w:rPr>
        <w:t>miscellaneous expenses integral to the project</w:t>
      </w:r>
    </w:p>
    <w:p w14:paraId="11D0F1AF" w14:textId="77777777" w:rsidR="00FB0FAA" w:rsidRDefault="006F672A">
      <w:pPr>
        <w:pStyle w:val="ListParagraph"/>
        <w:numPr>
          <w:ilvl w:val="0"/>
          <w:numId w:val="6"/>
        </w:numPr>
        <w:rPr>
          <w:sz w:val="24"/>
          <w:szCs w:val="24"/>
        </w:rPr>
      </w:pPr>
      <w:r>
        <w:rPr>
          <w:sz w:val="24"/>
          <w:szCs w:val="24"/>
        </w:rPr>
        <w:t xml:space="preserve">outreach, </w:t>
      </w:r>
      <w:proofErr w:type="gramStart"/>
      <w:r>
        <w:rPr>
          <w:sz w:val="24"/>
          <w:szCs w:val="24"/>
        </w:rPr>
        <w:t>communication</w:t>
      </w:r>
      <w:proofErr w:type="gramEnd"/>
      <w:r>
        <w:rPr>
          <w:sz w:val="24"/>
          <w:szCs w:val="24"/>
        </w:rPr>
        <w:t xml:space="preserve"> and information dissemination costs</w:t>
      </w:r>
    </w:p>
    <w:p w14:paraId="17D482AB" w14:textId="77777777" w:rsidR="00FB0FAA" w:rsidRDefault="006F672A">
      <w:pPr>
        <w:pStyle w:val="ListParagraph"/>
        <w:numPr>
          <w:ilvl w:val="0"/>
          <w:numId w:val="6"/>
        </w:numPr>
        <w:rPr>
          <w:sz w:val="24"/>
          <w:szCs w:val="24"/>
        </w:rPr>
      </w:pPr>
      <w:r>
        <w:rPr>
          <w:sz w:val="24"/>
          <w:szCs w:val="24"/>
        </w:rPr>
        <w:t>publishing costs</w:t>
      </w:r>
    </w:p>
    <w:p w14:paraId="4EA5A785" w14:textId="77777777" w:rsidR="00FB0FAA" w:rsidRDefault="006F672A">
      <w:pPr>
        <w:pStyle w:val="ListParagraph"/>
        <w:numPr>
          <w:ilvl w:val="0"/>
          <w:numId w:val="6"/>
        </w:numPr>
        <w:rPr>
          <w:sz w:val="24"/>
          <w:szCs w:val="24"/>
        </w:rPr>
      </w:pPr>
      <w:r>
        <w:rPr>
          <w:sz w:val="24"/>
          <w:szCs w:val="24"/>
        </w:rPr>
        <w:t>radio and television broadcast fees</w:t>
      </w:r>
    </w:p>
    <w:p w14:paraId="44188B82" w14:textId="77777777" w:rsidR="00FB0FAA" w:rsidRDefault="006F672A">
      <w:pPr>
        <w:pStyle w:val="ListParagraph"/>
        <w:numPr>
          <w:ilvl w:val="0"/>
          <w:numId w:val="6"/>
        </w:numPr>
        <w:rPr>
          <w:sz w:val="24"/>
          <w:szCs w:val="24"/>
        </w:rPr>
      </w:pPr>
      <w:r>
        <w:rPr>
          <w:sz w:val="24"/>
          <w:szCs w:val="24"/>
        </w:rPr>
        <w:t>research-related costs</w:t>
      </w:r>
    </w:p>
    <w:p w14:paraId="7CACCD2B" w14:textId="6F5C1C11" w:rsidR="00FB0FAA" w:rsidRDefault="006F672A">
      <w:pPr>
        <w:pStyle w:val="ListParagraph"/>
        <w:numPr>
          <w:ilvl w:val="0"/>
          <w:numId w:val="6"/>
        </w:numPr>
        <w:rPr>
          <w:sz w:val="24"/>
          <w:szCs w:val="24"/>
        </w:rPr>
      </w:pPr>
      <w:r>
        <w:rPr>
          <w:sz w:val="24"/>
          <w:szCs w:val="24"/>
        </w:rPr>
        <w:t xml:space="preserve">salary costs, including stipends, relating to the </w:t>
      </w:r>
      <w:proofErr w:type="gramStart"/>
      <w:r>
        <w:rPr>
          <w:sz w:val="24"/>
          <w:szCs w:val="24"/>
        </w:rPr>
        <w:t>project</w:t>
      </w:r>
      <w:proofErr w:type="gramEnd"/>
    </w:p>
    <w:p w14:paraId="0C47EDC0" w14:textId="77777777" w:rsidR="00FB0FAA" w:rsidRDefault="006F672A">
      <w:pPr>
        <w:pStyle w:val="ListParagraph"/>
        <w:numPr>
          <w:ilvl w:val="0"/>
          <w:numId w:val="6"/>
        </w:numPr>
        <w:rPr>
          <w:sz w:val="24"/>
          <w:szCs w:val="24"/>
        </w:rPr>
      </w:pPr>
      <w:r>
        <w:rPr>
          <w:sz w:val="24"/>
          <w:szCs w:val="24"/>
        </w:rPr>
        <w:t>security costs</w:t>
      </w:r>
    </w:p>
    <w:p w14:paraId="3E788D6E" w14:textId="77777777" w:rsidR="00FB0FAA" w:rsidRDefault="006F672A">
      <w:pPr>
        <w:pStyle w:val="ListParagraph"/>
        <w:numPr>
          <w:ilvl w:val="0"/>
          <w:numId w:val="6"/>
        </w:numPr>
        <w:rPr>
          <w:sz w:val="24"/>
          <w:szCs w:val="24"/>
        </w:rPr>
      </w:pPr>
      <w:r>
        <w:rPr>
          <w:sz w:val="24"/>
          <w:szCs w:val="24"/>
        </w:rPr>
        <w:t>training and capacity building expenditures</w:t>
      </w:r>
    </w:p>
    <w:p w14:paraId="31D69505" w14:textId="77777777" w:rsidR="00FB0FAA" w:rsidRDefault="006F672A">
      <w:pPr>
        <w:pStyle w:val="ListParagraph"/>
        <w:numPr>
          <w:ilvl w:val="0"/>
          <w:numId w:val="6"/>
        </w:numPr>
        <w:rPr>
          <w:sz w:val="24"/>
          <w:szCs w:val="24"/>
        </w:rPr>
      </w:pPr>
      <w:r>
        <w:rPr>
          <w:sz w:val="24"/>
          <w:szCs w:val="24"/>
        </w:rPr>
        <w:t>translation and interpretation fees</w:t>
      </w:r>
    </w:p>
    <w:p w14:paraId="101FB56A" w14:textId="77777777" w:rsidR="00FB0FAA" w:rsidRDefault="006F672A">
      <w:pPr>
        <w:pStyle w:val="ListParagraph"/>
        <w:numPr>
          <w:ilvl w:val="0"/>
          <w:numId w:val="6"/>
        </w:numPr>
        <w:rPr>
          <w:sz w:val="24"/>
          <w:szCs w:val="24"/>
        </w:rPr>
      </w:pPr>
      <w:r>
        <w:rPr>
          <w:sz w:val="24"/>
          <w:szCs w:val="24"/>
        </w:rPr>
        <w:t>vehicle and equipment operation, installation and/or maintenance</w:t>
      </w:r>
    </w:p>
    <w:p w14:paraId="2B7F59C2" w14:textId="77777777" w:rsidR="00FB0FAA" w:rsidRDefault="006F672A">
      <w:pPr>
        <w:pStyle w:val="ListParagraph"/>
        <w:numPr>
          <w:ilvl w:val="0"/>
          <w:numId w:val="6"/>
        </w:numPr>
        <w:rPr>
          <w:sz w:val="24"/>
          <w:szCs w:val="24"/>
        </w:rPr>
      </w:pPr>
      <w:r>
        <w:rPr>
          <w:sz w:val="24"/>
          <w:szCs w:val="24"/>
        </w:rPr>
        <w:t>website development and related costs</w:t>
      </w:r>
    </w:p>
    <w:p w14:paraId="4FA32E6F" w14:textId="77777777" w:rsidR="00FB0FAA" w:rsidRDefault="00FB0FAA">
      <w:pPr>
        <w:pStyle w:val="ListParagraph"/>
        <w:ind w:left="0"/>
        <w:rPr>
          <w:sz w:val="24"/>
          <w:szCs w:val="24"/>
        </w:rPr>
      </w:pPr>
    </w:p>
    <w:p w14:paraId="423932B0" w14:textId="77777777" w:rsidR="00FB0FAA" w:rsidRPr="00400D0A" w:rsidRDefault="006F672A">
      <w:pPr>
        <w:pStyle w:val="Body"/>
        <w:shd w:val="clear" w:color="auto" w:fill="FFFFFF"/>
        <w:spacing w:after="120"/>
        <w:rPr>
          <w:b/>
          <w:bCs/>
          <w:sz w:val="24"/>
          <w:szCs w:val="24"/>
        </w:rPr>
      </w:pPr>
      <w:r w:rsidRPr="00400D0A">
        <w:rPr>
          <w:b/>
          <w:bCs/>
          <w:sz w:val="24"/>
          <w:szCs w:val="24"/>
          <w:lang w:val="en-US"/>
        </w:rPr>
        <w:t>The following costs are not eligible for CFLI funding:</w:t>
      </w:r>
    </w:p>
    <w:p w14:paraId="275A6607" w14:textId="77777777" w:rsidR="00FB0FAA" w:rsidRDefault="006F672A">
      <w:pPr>
        <w:pStyle w:val="ListParagraph"/>
        <w:numPr>
          <w:ilvl w:val="0"/>
          <w:numId w:val="8"/>
        </w:numPr>
        <w:rPr>
          <w:b/>
          <w:bCs/>
          <w:sz w:val="24"/>
          <w:szCs w:val="24"/>
        </w:rPr>
      </w:pPr>
      <w:r>
        <w:rPr>
          <w:sz w:val="24"/>
          <w:szCs w:val="24"/>
        </w:rPr>
        <w:t>nuclear technologies and facilities,</w:t>
      </w:r>
    </w:p>
    <w:p w14:paraId="5208D716" w14:textId="3BADA19A" w:rsidR="00FB0FAA" w:rsidRDefault="006F672A">
      <w:pPr>
        <w:pStyle w:val="ListParagraph"/>
        <w:numPr>
          <w:ilvl w:val="0"/>
          <w:numId w:val="8"/>
        </w:numPr>
        <w:rPr>
          <w:sz w:val="24"/>
          <w:szCs w:val="24"/>
        </w:rPr>
      </w:pPr>
      <w:r>
        <w:rPr>
          <w:sz w:val="24"/>
          <w:szCs w:val="24"/>
        </w:rPr>
        <w:t>assistance to military or paramilitary</w:t>
      </w:r>
      <w:r>
        <w:rPr>
          <w:spacing w:val="-11"/>
          <w:sz w:val="24"/>
          <w:szCs w:val="24"/>
        </w:rPr>
        <w:t xml:space="preserve"> </w:t>
      </w:r>
      <w:r>
        <w:rPr>
          <w:sz w:val="24"/>
          <w:szCs w:val="24"/>
        </w:rPr>
        <w:t>organizations</w:t>
      </w:r>
    </w:p>
    <w:p w14:paraId="383037D7" w14:textId="30B9267D" w:rsidR="00FB0FAA" w:rsidRDefault="006F672A">
      <w:pPr>
        <w:pStyle w:val="ListParagraph"/>
        <w:numPr>
          <w:ilvl w:val="0"/>
          <w:numId w:val="8"/>
        </w:numPr>
        <w:rPr>
          <w:sz w:val="24"/>
          <w:szCs w:val="24"/>
        </w:rPr>
      </w:pPr>
      <w:r>
        <w:rPr>
          <w:sz w:val="24"/>
          <w:szCs w:val="24"/>
        </w:rPr>
        <w:t>gifts</w:t>
      </w:r>
    </w:p>
    <w:p w14:paraId="2CDB0C92" w14:textId="37436CFE" w:rsidR="00FB0FAA" w:rsidRDefault="006F672A">
      <w:pPr>
        <w:pStyle w:val="ListParagraph"/>
        <w:numPr>
          <w:ilvl w:val="0"/>
          <w:numId w:val="8"/>
        </w:numPr>
        <w:rPr>
          <w:sz w:val="24"/>
          <w:szCs w:val="24"/>
        </w:rPr>
      </w:pPr>
      <w:r>
        <w:rPr>
          <w:sz w:val="24"/>
          <w:szCs w:val="24"/>
        </w:rPr>
        <w:t>luxury</w:t>
      </w:r>
      <w:r>
        <w:rPr>
          <w:spacing w:val="-5"/>
          <w:sz w:val="24"/>
          <w:szCs w:val="24"/>
        </w:rPr>
        <w:t xml:space="preserve"> </w:t>
      </w:r>
      <w:r>
        <w:rPr>
          <w:sz w:val="24"/>
          <w:szCs w:val="24"/>
        </w:rPr>
        <w:t>goods</w:t>
      </w:r>
    </w:p>
    <w:p w14:paraId="6A7E123B" w14:textId="0F1D5A4E" w:rsidR="00FB0FAA" w:rsidRDefault="006F672A">
      <w:pPr>
        <w:pStyle w:val="ListParagraph"/>
        <w:numPr>
          <w:ilvl w:val="0"/>
          <w:numId w:val="8"/>
        </w:numPr>
        <w:rPr>
          <w:sz w:val="24"/>
          <w:szCs w:val="24"/>
        </w:rPr>
      </w:pPr>
      <w:r>
        <w:rPr>
          <w:sz w:val="24"/>
          <w:szCs w:val="24"/>
        </w:rPr>
        <w:t>direct fiscal support to a government</w:t>
      </w:r>
    </w:p>
    <w:p w14:paraId="018E4F6F" w14:textId="741E0F24" w:rsidR="00FB0FAA" w:rsidRDefault="006F672A">
      <w:pPr>
        <w:pStyle w:val="ListParagraph"/>
        <w:numPr>
          <w:ilvl w:val="0"/>
          <w:numId w:val="8"/>
        </w:numPr>
        <w:rPr>
          <w:sz w:val="24"/>
          <w:szCs w:val="24"/>
        </w:rPr>
      </w:pPr>
      <w:r>
        <w:rPr>
          <w:sz w:val="24"/>
          <w:szCs w:val="24"/>
        </w:rPr>
        <w:t>seed funding and/or microfinance</w:t>
      </w:r>
    </w:p>
    <w:p w14:paraId="4B89FB50" w14:textId="77777777" w:rsidR="00FB0FAA" w:rsidRDefault="006F672A">
      <w:pPr>
        <w:pStyle w:val="ListParagraph"/>
        <w:numPr>
          <w:ilvl w:val="0"/>
          <w:numId w:val="6"/>
        </w:numPr>
        <w:rPr>
          <w:sz w:val="24"/>
          <w:szCs w:val="24"/>
        </w:rPr>
      </w:pPr>
      <w:r>
        <w:rPr>
          <w:sz w:val="24"/>
          <w:szCs w:val="24"/>
        </w:rPr>
        <w:t>core funding or recurrent costs of an</w:t>
      </w:r>
      <w:r>
        <w:rPr>
          <w:spacing w:val="-7"/>
          <w:sz w:val="24"/>
          <w:szCs w:val="24"/>
        </w:rPr>
        <w:t xml:space="preserve"> </w:t>
      </w:r>
      <w:r>
        <w:rPr>
          <w:sz w:val="24"/>
          <w:szCs w:val="24"/>
        </w:rPr>
        <w:t>organization</w:t>
      </w:r>
    </w:p>
    <w:p w14:paraId="077B096E" w14:textId="4037C9BF" w:rsidR="00FB0FAA" w:rsidRDefault="006F672A">
      <w:pPr>
        <w:pStyle w:val="ListParagraph"/>
        <w:numPr>
          <w:ilvl w:val="0"/>
          <w:numId w:val="6"/>
        </w:numPr>
        <w:rPr>
          <w:sz w:val="24"/>
          <w:szCs w:val="24"/>
        </w:rPr>
      </w:pPr>
      <w:r>
        <w:rPr>
          <w:sz w:val="24"/>
          <w:szCs w:val="24"/>
        </w:rPr>
        <w:t xml:space="preserve">expenses incurred prior to the signing of the contribution agreement, or after it </w:t>
      </w:r>
      <w:proofErr w:type="gramStart"/>
      <w:r w:rsidR="00400D0A">
        <w:rPr>
          <w:sz w:val="24"/>
          <w:szCs w:val="24"/>
        </w:rPr>
        <w:t>expires</w:t>
      </w:r>
      <w:proofErr w:type="gramEnd"/>
    </w:p>
    <w:p w14:paraId="162565FA" w14:textId="77777777" w:rsidR="00FB0FAA" w:rsidRDefault="00FB0FAA">
      <w:pPr>
        <w:pStyle w:val="Body"/>
      </w:pPr>
    </w:p>
    <w:sectPr w:rsidR="00FB0FAA">
      <w:headerReference w:type="default" r:id="rId17"/>
      <w:pgSz w:w="12240" w:h="15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7694E" w14:textId="77777777" w:rsidR="006F672A" w:rsidRDefault="006F672A">
      <w:r>
        <w:separator/>
      </w:r>
    </w:p>
  </w:endnote>
  <w:endnote w:type="continuationSeparator" w:id="0">
    <w:p w14:paraId="3065B741" w14:textId="77777777" w:rsidR="006F672A" w:rsidRDefault="006F6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FEC6F" w14:textId="77777777" w:rsidR="006F672A" w:rsidRDefault="006F672A">
      <w:r>
        <w:separator/>
      </w:r>
    </w:p>
  </w:footnote>
  <w:footnote w:type="continuationSeparator" w:id="0">
    <w:p w14:paraId="77A5879B" w14:textId="77777777" w:rsidR="006F672A" w:rsidRDefault="006F67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5F626" w14:textId="33A18C12" w:rsidR="00FB0FAA" w:rsidRDefault="00FB0FAA">
    <w:pPr>
      <w:pStyle w:val="Header"/>
      <w:tabs>
        <w:tab w:val="clear" w:pos="9360"/>
        <w:tab w:val="right" w:pos="9340"/>
      </w:tabs>
      <w:spacing w:line="276" w:lineRule="aut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D0E0A"/>
    <w:multiLevelType w:val="hybridMultilevel"/>
    <w:tmpl w:val="5D0AE190"/>
    <w:numStyleLink w:val="ImportedStyle2"/>
  </w:abstractNum>
  <w:abstractNum w:abstractNumId="1" w15:restartNumberingAfterBreak="0">
    <w:nsid w:val="0A580567"/>
    <w:multiLevelType w:val="hybridMultilevel"/>
    <w:tmpl w:val="D4E4D06C"/>
    <w:lvl w:ilvl="0" w:tplc="406A983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88048BE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5B52E2B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D7FA18D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66AA042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B1D6E2C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342AAF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98683D5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C4BCFCD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 w15:restartNumberingAfterBreak="0">
    <w:nsid w:val="37394A82"/>
    <w:multiLevelType w:val="hybridMultilevel"/>
    <w:tmpl w:val="3BBE300A"/>
    <w:styleLink w:val="ImportedStyle4"/>
    <w:lvl w:ilvl="0" w:tplc="54383A0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34A518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EC812F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AA0E18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6DA0F1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C2C18C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9B61EA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58ABC0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03CF3D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53B03B7A"/>
    <w:multiLevelType w:val="hybridMultilevel"/>
    <w:tmpl w:val="E7CAE1C2"/>
    <w:numStyleLink w:val="ImportedStyle5"/>
  </w:abstractNum>
  <w:abstractNum w:abstractNumId="4" w15:restartNumberingAfterBreak="0">
    <w:nsid w:val="5B3F3A8B"/>
    <w:multiLevelType w:val="hybridMultilevel"/>
    <w:tmpl w:val="4F84E046"/>
    <w:lvl w:ilvl="0" w:tplc="729C51F6">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A96C8AA">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7EC55DC">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FA0381E">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2AC68FA">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46CB2B2">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B12EB1C">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CB2C3E0">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25A57C4">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DC525C0"/>
    <w:multiLevelType w:val="hybridMultilevel"/>
    <w:tmpl w:val="E7CAE1C2"/>
    <w:styleLink w:val="ImportedStyle5"/>
    <w:lvl w:ilvl="0" w:tplc="76EEFE7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7A68406">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5FCEDDA0">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F6F22726">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F02EC14">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65C6D69A">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8F483B26">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E881CBC">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C37E3014">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68D034A8"/>
    <w:multiLevelType w:val="hybridMultilevel"/>
    <w:tmpl w:val="3BBE300A"/>
    <w:numStyleLink w:val="ImportedStyle4"/>
  </w:abstractNum>
  <w:abstractNum w:abstractNumId="7" w15:restartNumberingAfterBreak="0">
    <w:nsid w:val="7F8F6A6D"/>
    <w:multiLevelType w:val="hybridMultilevel"/>
    <w:tmpl w:val="5D0AE190"/>
    <w:styleLink w:val="ImportedStyle2"/>
    <w:lvl w:ilvl="0" w:tplc="D8AE39AC">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2F6808A">
      <w:start w:val="1"/>
      <w:numFmt w:val="bullet"/>
      <w:lvlText w:val="o"/>
      <w:lvlJc w:val="left"/>
      <w:pPr>
        <w:tabs>
          <w:tab w:val="left" w:pos="108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6D80886">
      <w:start w:val="1"/>
      <w:numFmt w:val="bullet"/>
      <w:lvlText w:val="▪"/>
      <w:lvlJc w:val="left"/>
      <w:pPr>
        <w:tabs>
          <w:tab w:val="left" w:pos="108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FC8EFE0">
      <w:start w:val="1"/>
      <w:numFmt w:val="bullet"/>
      <w:lvlText w:val="·"/>
      <w:lvlJc w:val="left"/>
      <w:pPr>
        <w:tabs>
          <w:tab w:val="left" w:pos="108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F603116">
      <w:start w:val="1"/>
      <w:numFmt w:val="bullet"/>
      <w:lvlText w:val="o"/>
      <w:lvlJc w:val="left"/>
      <w:pPr>
        <w:tabs>
          <w:tab w:val="left" w:pos="108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BDE337E">
      <w:start w:val="1"/>
      <w:numFmt w:val="bullet"/>
      <w:lvlText w:val="▪"/>
      <w:lvlJc w:val="left"/>
      <w:pPr>
        <w:tabs>
          <w:tab w:val="left" w:pos="108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58CD08C">
      <w:start w:val="1"/>
      <w:numFmt w:val="bullet"/>
      <w:lvlText w:val="·"/>
      <w:lvlJc w:val="left"/>
      <w:pPr>
        <w:tabs>
          <w:tab w:val="left" w:pos="108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F46AE28">
      <w:start w:val="1"/>
      <w:numFmt w:val="bullet"/>
      <w:lvlText w:val="o"/>
      <w:lvlJc w:val="left"/>
      <w:pPr>
        <w:tabs>
          <w:tab w:val="left" w:pos="108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F7E323E">
      <w:start w:val="1"/>
      <w:numFmt w:val="bullet"/>
      <w:lvlText w:val="▪"/>
      <w:lvlJc w:val="left"/>
      <w:pPr>
        <w:tabs>
          <w:tab w:val="left" w:pos="108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574005001">
    <w:abstractNumId w:val="7"/>
  </w:num>
  <w:num w:numId="2" w16cid:durableId="355162182">
    <w:abstractNumId w:val="0"/>
  </w:num>
  <w:num w:numId="3" w16cid:durableId="1832331053">
    <w:abstractNumId w:val="1"/>
  </w:num>
  <w:num w:numId="4" w16cid:durableId="1195389394">
    <w:abstractNumId w:val="4"/>
  </w:num>
  <w:num w:numId="5" w16cid:durableId="489905973">
    <w:abstractNumId w:val="2"/>
  </w:num>
  <w:num w:numId="6" w16cid:durableId="211844504">
    <w:abstractNumId w:val="6"/>
  </w:num>
  <w:num w:numId="7" w16cid:durableId="295572324">
    <w:abstractNumId w:val="5"/>
  </w:num>
  <w:num w:numId="8" w16cid:durableId="762184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FAA"/>
    <w:rsid w:val="00400D0A"/>
    <w:rsid w:val="00670A43"/>
    <w:rsid w:val="006F672A"/>
    <w:rsid w:val="00A755B5"/>
    <w:rsid w:val="00FB0FA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6D44D"/>
  <w15:docId w15:val="{CC855B2F-FDBE-46A7-ADBA-3356B565C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2">
    <w:name w:val="heading 2"/>
    <w:next w:val="Body"/>
    <w:uiPriority w:val="9"/>
    <w:unhideWhenUsed/>
    <w:qFormat/>
    <w:pPr>
      <w:keepNext/>
      <w:keepLines/>
      <w:spacing w:before="40" w:line="276" w:lineRule="auto"/>
      <w:outlineLvl w:val="1"/>
    </w:pPr>
    <w:rPr>
      <w:rFonts w:ascii="Cambria" w:eastAsia="Cambria" w:hAnsi="Cambria" w:cs="Cambria"/>
      <w:color w:val="365F91"/>
      <w:sz w:val="26"/>
      <w:szCs w:val="26"/>
      <w:u w:color="365F91"/>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hAnsi="Calibri" w:cs="Arial Unicode MS"/>
      <w:color w:val="000000"/>
      <w:sz w:val="22"/>
      <w:szCs w:val="22"/>
      <w:u w:color="000000"/>
      <w:lang w:val="en-US"/>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Body">
    <w:name w:val="Body"/>
    <w:pPr>
      <w:spacing w:after="200" w:line="276" w:lineRule="auto"/>
    </w:pPr>
    <w:rPr>
      <w:rFonts w:ascii="Calibri" w:eastAsia="Calibri" w:hAnsi="Calibri" w:cs="Calibri"/>
      <w:color w:val="000000"/>
      <w:sz w:val="22"/>
      <w:szCs w:val="22"/>
      <w:u w:color="000000"/>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outline w:val="0"/>
      <w:color w:val="0000FF"/>
      <w:sz w:val="24"/>
      <w:szCs w:val="24"/>
      <w:u w:val="single" w:color="0000FF"/>
    </w:rPr>
  </w:style>
  <w:style w:type="numbering" w:customStyle="1" w:styleId="ImportedStyle2">
    <w:name w:val="Imported Style 2"/>
    <w:pPr>
      <w:numPr>
        <w:numId w:val="1"/>
      </w:numPr>
    </w:pPr>
  </w:style>
  <w:style w:type="character" w:customStyle="1" w:styleId="Hyperlink1">
    <w:name w:val="Hyperlink.1"/>
    <w:basedOn w:val="Link"/>
    <w:rPr>
      <w:rFonts w:ascii="Calibri" w:eastAsia="Calibri" w:hAnsi="Calibri" w:cs="Calibri"/>
      <w:outline w:val="0"/>
      <w:color w:val="0000FF"/>
      <w:u w:val="single" w:color="0000FF"/>
    </w:rPr>
  </w:style>
  <w:style w:type="paragraph" w:styleId="ListParagraph">
    <w:name w:val="List Paragraph"/>
    <w:pPr>
      <w:spacing w:after="200" w:line="276" w:lineRule="auto"/>
      <w:ind w:left="720"/>
    </w:pPr>
    <w:rPr>
      <w:rFonts w:ascii="Calibri" w:hAnsi="Calibri" w:cs="Arial Unicode MS"/>
      <w:color w:val="000000"/>
      <w:sz w:val="22"/>
      <w:szCs w:val="22"/>
      <w:u w:color="000000"/>
      <w:lang w:val="en-US"/>
    </w:rPr>
  </w:style>
  <w:style w:type="numbering" w:customStyle="1" w:styleId="ImportedStyle4">
    <w:name w:val="Imported Style 4"/>
    <w:pPr>
      <w:numPr>
        <w:numId w:val="5"/>
      </w:numPr>
    </w:pPr>
  </w:style>
  <w:style w:type="numbering" w:customStyle="1" w:styleId="ImportedStyle5">
    <w:name w:val="Imported Style 5"/>
    <w:pPr>
      <w:numPr>
        <w:numId w:val="7"/>
      </w:numPr>
    </w:pPr>
  </w:style>
  <w:style w:type="character" w:styleId="UnresolvedMention">
    <w:name w:val="Unresolved Mention"/>
    <w:basedOn w:val="DefaultParagraphFont"/>
    <w:uiPriority w:val="99"/>
    <w:semiHidden/>
    <w:unhideWhenUsed/>
    <w:rsid w:val="00400D0A"/>
    <w:rPr>
      <w:color w:val="605E5C"/>
      <w:shd w:val="clear" w:color="auto" w:fill="E1DFDD"/>
    </w:rPr>
  </w:style>
  <w:style w:type="paragraph" w:styleId="Footer">
    <w:name w:val="footer"/>
    <w:basedOn w:val="Normal"/>
    <w:link w:val="FooterChar"/>
    <w:uiPriority w:val="99"/>
    <w:unhideWhenUsed/>
    <w:rsid w:val="00400D0A"/>
    <w:pPr>
      <w:tabs>
        <w:tab w:val="center" w:pos="4680"/>
        <w:tab w:val="right" w:pos="9360"/>
      </w:tabs>
    </w:pPr>
  </w:style>
  <w:style w:type="character" w:customStyle="1" w:styleId="FooterChar">
    <w:name w:val="Footer Char"/>
    <w:basedOn w:val="DefaultParagraphFont"/>
    <w:link w:val="Footer"/>
    <w:uiPriority w:val="99"/>
    <w:rsid w:val="00400D0A"/>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7901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bankofcanada.ca/rates/exchange/currency-converter/" TargetMode="External"/><Relationship Id="rId13" Type="http://schemas.openxmlformats.org/officeDocument/2006/relationships/hyperlink" Target="https://www.international.gc.ca/world-monde/assets/pdfs/funding-financement/cfli-fcil/3160e.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ankofcanada.ca/rates/exchange/currency-converter/" TargetMode="External"/><Relationship Id="rId12" Type="http://schemas.openxmlformats.org/officeDocument/2006/relationships/hyperlink" Target="mailto:WLGTN.Canada-Fund@international.gc.ca"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WLGTN.Canada-Fund@international.gc.c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LGTN.Canada-Fund@international.gc.ca" TargetMode="External"/><Relationship Id="rId5" Type="http://schemas.openxmlformats.org/officeDocument/2006/relationships/footnotes" Target="footnotes.xml"/><Relationship Id="rId15" Type="http://schemas.openxmlformats.org/officeDocument/2006/relationships/hyperlink" Target="mailto:WLGTN.Canada-Fund@international.gc.ca" TargetMode="External"/><Relationship Id="rId10" Type="http://schemas.openxmlformats.org/officeDocument/2006/relationships/hyperlink" Target="https://www.international.gc.ca/department-ministere/help-aide.aspx?lang=en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international.gc.ca/world-monde/assets/pdfs/funding-financement/cfli-fcil/3160e.pdf" TargetMode="External"/><Relationship Id="rId14" Type="http://schemas.openxmlformats.org/officeDocument/2006/relationships/hyperlink" Target="https://www.international.gc.ca/department-ministere/help-aide.aspx?lang=eng#open"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800</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GAC-AMC</Company>
  <LinksUpToDate>false</LinksUpToDate>
  <CharactersWithSpaces>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Eyssautier, Arnaud -WLGTN -GR</dc:creator>
  <cp:lastModifiedBy>Eyssautier, Arnaud -WLGTN -GR</cp:lastModifiedBy>
  <cp:revision>2</cp:revision>
  <dcterms:created xsi:type="dcterms:W3CDTF">2024-02-07T23:16:00Z</dcterms:created>
  <dcterms:modified xsi:type="dcterms:W3CDTF">2024-02-07T23:16:00Z</dcterms:modified>
</cp:coreProperties>
</file>