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D81E" w14:textId="77777777" w:rsidR="00433728" w:rsidRDefault="00433728" w:rsidP="000B7AA6">
      <w:pPr>
        <w:spacing w:after="0"/>
        <w:rPr>
          <w:b/>
        </w:rPr>
      </w:pPr>
      <w:bookmarkStart w:id="0" w:name="_GoBack"/>
      <w:bookmarkEnd w:id="0"/>
    </w:p>
    <w:p w14:paraId="56BADE13" w14:textId="77777777" w:rsidR="00434F65" w:rsidRDefault="00434F65" w:rsidP="000B7AA6">
      <w:pPr>
        <w:spacing w:after="0"/>
      </w:pPr>
    </w:p>
    <w:p w14:paraId="59E65D50" w14:textId="44467503" w:rsidR="00434F65" w:rsidRPr="00424263" w:rsidRDefault="00EF2EB7" w:rsidP="00424263">
      <w:pPr>
        <w:spacing w:after="0"/>
        <w:jc w:val="center"/>
        <w:rPr>
          <w:b/>
          <w:sz w:val="26"/>
          <w:szCs w:val="26"/>
        </w:rPr>
      </w:pPr>
      <w:r>
        <w:rPr>
          <w:b/>
          <w:sz w:val="26"/>
          <w:szCs w:val="26"/>
        </w:rPr>
        <w:t>Women, Peace and Humanitarian Fund</w:t>
      </w:r>
    </w:p>
    <w:p w14:paraId="75969ACE" w14:textId="5E03CED4" w:rsidR="00434F65" w:rsidRPr="00424263" w:rsidRDefault="00EF2EB7" w:rsidP="00424263">
      <w:pPr>
        <w:spacing w:after="0"/>
        <w:jc w:val="center"/>
        <w:rPr>
          <w:sz w:val="24"/>
          <w:szCs w:val="24"/>
        </w:rPr>
      </w:pPr>
      <w:r w:rsidRPr="00424263">
        <w:rPr>
          <w:sz w:val="24"/>
          <w:szCs w:val="24"/>
        </w:rPr>
        <w:t>201</w:t>
      </w:r>
      <w:r w:rsidR="00F014BA">
        <w:rPr>
          <w:sz w:val="24"/>
          <w:szCs w:val="24"/>
        </w:rPr>
        <w:t>8</w:t>
      </w:r>
      <w:r w:rsidRPr="00424263">
        <w:rPr>
          <w:sz w:val="24"/>
          <w:szCs w:val="24"/>
        </w:rPr>
        <w:t xml:space="preserve"> </w:t>
      </w:r>
      <w:r w:rsidR="00434F65" w:rsidRPr="00424263">
        <w:rPr>
          <w:sz w:val="24"/>
          <w:szCs w:val="24"/>
        </w:rPr>
        <w:t>Funding allocations</w:t>
      </w:r>
    </w:p>
    <w:p w14:paraId="2DBDBB63" w14:textId="77777777" w:rsidR="00434F65" w:rsidRPr="00424263" w:rsidRDefault="00434F65" w:rsidP="00424263">
      <w:pPr>
        <w:spacing w:after="0"/>
        <w:jc w:val="center"/>
        <w:rPr>
          <w:sz w:val="24"/>
          <w:szCs w:val="24"/>
        </w:rPr>
      </w:pPr>
    </w:p>
    <w:p w14:paraId="62CA83D4" w14:textId="77777777" w:rsidR="00434F65" w:rsidRPr="00424263" w:rsidRDefault="00434F65" w:rsidP="00424263">
      <w:pPr>
        <w:spacing w:after="0"/>
        <w:jc w:val="center"/>
        <w:rPr>
          <w:b/>
          <w:i/>
          <w:sz w:val="24"/>
          <w:szCs w:val="24"/>
        </w:rPr>
      </w:pPr>
      <w:r w:rsidRPr="00424263">
        <w:rPr>
          <w:b/>
          <w:i/>
          <w:sz w:val="24"/>
          <w:szCs w:val="24"/>
        </w:rPr>
        <w:t>Call for proposals</w:t>
      </w:r>
    </w:p>
    <w:p w14:paraId="0E304512" w14:textId="77777777" w:rsidR="001253D5" w:rsidRDefault="001253D5" w:rsidP="000B7AA6">
      <w:pPr>
        <w:spacing w:after="0"/>
        <w:rPr>
          <w:sz w:val="24"/>
          <w:szCs w:val="24"/>
        </w:rPr>
      </w:pPr>
    </w:p>
    <w:p w14:paraId="6CD669FA" w14:textId="77777777" w:rsidR="00433728" w:rsidRPr="00424263" w:rsidRDefault="00433728" w:rsidP="000B7AA6">
      <w:pPr>
        <w:spacing w:after="0"/>
        <w:rPr>
          <w:b/>
          <w:sz w:val="24"/>
          <w:szCs w:val="24"/>
        </w:rPr>
      </w:pPr>
    </w:p>
    <w:p w14:paraId="78AC7CA0" w14:textId="6BB8E96D" w:rsidR="00E73428" w:rsidRDefault="00620110" w:rsidP="0099066B">
      <w:pPr>
        <w:pStyle w:val="ListParagraph"/>
        <w:numPr>
          <w:ilvl w:val="0"/>
          <w:numId w:val="1"/>
        </w:numPr>
        <w:spacing w:after="0"/>
        <w:jc w:val="both"/>
        <w:rPr>
          <w:b/>
        </w:rPr>
      </w:pPr>
      <w:r>
        <w:rPr>
          <w:b/>
        </w:rPr>
        <w:t>Background o</w:t>
      </w:r>
      <w:r w:rsidR="00015FB3">
        <w:rPr>
          <w:b/>
        </w:rPr>
        <w:t xml:space="preserve">n </w:t>
      </w:r>
      <w:r>
        <w:rPr>
          <w:b/>
        </w:rPr>
        <w:t xml:space="preserve">the establishment of </w:t>
      </w:r>
      <w:r w:rsidR="00E73428">
        <w:rPr>
          <w:b/>
        </w:rPr>
        <w:t xml:space="preserve">the </w:t>
      </w:r>
      <w:r w:rsidR="00EF2EB7">
        <w:rPr>
          <w:b/>
        </w:rPr>
        <w:t>Women, Peace and Humanitarian Fund (WPHF)</w:t>
      </w:r>
    </w:p>
    <w:p w14:paraId="0C35FA0B" w14:textId="77777777" w:rsidR="00433728" w:rsidRPr="00125E43" w:rsidRDefault="00433728" w:rsidP="0099066B">
      <w:pPr>
        <w:spacing w:after="0"/>
        <w:ind w:left="360"/>
        <w:jc w:val="both"/>
        <w:rPr>
          <w:b/>
        </w:rPr>
      </w:pPr>
    </w:p>
    <w:p w14:paraId="0DC62B7A" w14:textId="77777777" w:rsidR="00DF1E39" w:rsidRDefault="00DF1E39" w:rsidP="0099066B">
      <w:pPr>
        <w:spacing w:after="0"/>
        <w:jc w:val="both"/>
      </w:pPr>
      <w:r w:rsidRPr="002347D7">
        <w:rPr>
          <w:rFonts w:cs="Calibri"/>
        </w:rPr>
        <w:t xml:space="preserve">Since 2000 and the adoption of </w:t>
      </w:r>
      <w:r>
        <w:rPr>
          <w:rFonts w:cs="Calibri"/>
        </w:rPr>
        <w:t xml:space="preserve">UN </w:t>
      </w:r>
      <w:r w:rsidRPr="002347D7">
        <w:rPr>
          <w:rFonts w:cs="Calibri"/>
        </w:rPr>
        <w:t xml:space="preserve">Security Council </w:t>
      </w:r>
      <w:r w:rsidR="001A4D67">
        <w:rPr>
          <w:rFonts w:cs="Calibri"/>
        </w:rPr>
        <w:t>r</w:t>
      </w:r>
      <w:r w:rsidR="001A4D67" w:rsidRPr="002347D7">
        <w:rPr>
          <w:rFonts w:cs="Calibri"/>
        </w:rPr>
        <w:t xml:space="preserve">esolution </w:t>
      </w:r>
      <w:r w:rsidRPr="002347D7">
        <w:rPr>
          <w:rFonts w:cs="Calibri"/>
        </w:rPr>
        <w:t xml:space="preserve">1325, remarkable normative progress has been made at the global, regional, and national levels to further advance and operationalize the Women, Peace and Security (WPS) agenda. There is also increasing recognition that </w:t>
      </w:r>
      <w:r w:rsidRPr="0007151D">
        <w:t xml:space="preserve">placing women’s agency at the center of the transition from crisis to sustainable development offers enormous potential for leveraging transformative change. </w:t>
      </w:r>
      <w:r>
        <w:t xml:space="preserve">Women’s meaningful participation in peace processes increases the likelihood that peace agreements will be sustained. </w:t>
      </w:r>
      <w:r w:rsidRPr="0007151D">
        <w:rPr>
          <w:rFonts w:cs="Calibri"/>
        </w:rPr>
        <w:t>Women can play a critical role in conflict prevention (including for violent extremism and radicalization), and bridging divides across communities.</w:t>
      </w:r>
      <w:r w:rsidR="0099066B" w:rsidRPr="0099066B">
        <w:t xml:space="preserve"> </w:t>
      </w:r>
      <w:r w:rsidR="0099066B" w:rsidRPr="006606A6">
        <w:t xml:space="preserve">Women’s </w:t>
      </w:r>
      <w:r w:rsidR="0099066B" w:rsidRPr="0099066B">
        <w:t>participation increases the reach and impact of humanitarian assistance</w:t>
      </w:r>
      <w:r w:rsidR="0099066B">
        <w:t>.</w:t>
      </w:r>
      <w:r w:rsidR="0099066B" w:rsidRPr="0099066B">
        <w:t xml:space="preserve"> </w:t>
      </w:r>
      <w:r w:rsidRPr="0099066B">
        <w:rPr>
          <w:rFonts w:cs="Calibri"/>
        </w:rPr>
        <w:t xml:space="preserve"> Research shows that women can greatly facilitate mediation efforts and peace negotiations by opening new avenues for</w:t>
      </w:r>
      <w:r w:rsidRPr="0007151D">
        <w:rPr>
          <w:rFonts w:cs="Calibri"/>
        </w:rPr>
        <w:t xml:space="preserve"> dialogue between different factions.</w:t>
      </w:r>
      <w:r>
        <w:rPr>
          <w:rStyle w:val="FootnoteReference"/>
          <w:rFonts w:cs="Calibri"/>
        </w:rPr>
        <w:footnoteReference w:id="1"/>
      </w:r>
      <w:r w:rsidRPr="0007151D">
        <w:rPr>
          <w:rFonts w:cs="Calibri"/>
        </w:rPr>
        <w:t xml:space="preserve"> Furthermore, </w:t>
      </w:r>
      <w:r w:rsidRPr="0007151D">
        <w:t>women’s active participation in economic re-vitalization makes peacebuilding and rec</w:t>
      </w:r>
      <w:r>
        <w:t>overy efforts more sustainable.</w:t>
      </w:r>
    </w:p>
    <w:p w14:paraId="067E92A2" w14:textId="77777777" w:rsidR="00DF1E39" w:rsidRDefault="00DF1E39" w:rsidP="0099066B">
      <w:pPr>
        <w:spacing w:after="0"/>
        <w:jc w:val="both"/>
      </w:pPr>
    </w:p>
    <w:p w14:paraId="40CC03E1" w14:textId="77777777" w:rsidR="00DF1E39" w:rsidRDefault="00DF1E39" w:rsidP="0099066B">
      <w:pPr>
        <w:spacing w:after="0"/>
        <w:jc w:val="both"/>
      </w:pPr>
      <w:r>
        <w:t xml:space="preserve">Despite the evidence base, women’s contributions continue to be undervalued, under-utilized and under-resourced. </w:t>
      </w:r>
      <w:r w:rsidRPr="00831874">
        <w:t>In 2012-2013 only 2 per cent of aid to the peace and security sector targeted gender equality as a principal objective.</w:t>
      </w:r>
      <w:r w:rsidRPr="00831874">
        <w:rPr>
          <w:rStyle w:val="FootnoteReference"/>
        </w:rPr>
        <w:footnoteReference w:id="2"/>
      </w:r>
      <w:r w:rsidRPr="00831874">
        <w:t xml:space="preserve">  Similarly, in 2014, only 20 per cent of humanitarian projects were coded as making a significant contribution to gender equality, while 65 per cent of funding reported through UN OCHA’s Financial Tracking Service (FTS) simply did not use the gender marker introduced five years ago. Further, humanitarian, peace and security</w:t>
      </w:r>
      <w:r>
        <w:t>,</w:t>
      </w:r>
      <w:r w:rsidRPr="00831874">
        <w:t xml:space="preserve"> and development assistance</w:t>
      </w:r>
      <w:r>
        <w:t xml:space="preserve"> funds</w:t>
      </w:r>
      <w:r w:rsidRPr="00831874">
        <w:t xml:space="preserve"> continue to operate in silos.</w:t>
      </w:r>
      <w:r>
        <w:t xml:space="preserve"> </w:t>
      </w:r>
      <w:r w:rsidRPr="00831874">
        <w:t xml:space="preserve">Each have different aims, follow different principles, operate over </w:t>
      </w:r>
      <w:r>
        <w:t>different funding cycles,</w:t>
      </w:r>
      <w:r w:rsidRPr="00831874">
        <w:t xml:space="preserve"> and are aligned with different budget lines and rules managed by different actors.</w:t>
      </w:r>
      <w:r w:rsidRPr="00831874">
        <w:rPr>
          <w:rStyle w:val="FootnoteReference"/>
        </w:rPr>
        <w:footnoteReference w:id="3"/>
      </w:r>
    </w:p>
    <w:p w14:paraId="6DBD9CF6" w14:textId="77777777" w:rsidR="00DF1E39" w:rsidRDefault="00DF1E39" w:rsidP="007807F0">
      <w:pPr>
        <w:pStyle w:val="ListParagraph"/>
        <w:spacing w:after="0" w:line="240" w:lineRule="auto"/>
        <w:ind w:left="1080"/>
        <w:jc w:val="both"/>
      </w:pPr>
    </w:p>
    <w:p w14:paraId="1E3B7B7C" w14:textId="77777777" w:rsidR="00DF1E39" w:rsidRDefault="00DF1E39" w:rsidP="007807F0">
      <w:pPr>
        <w:spacing w:after="0" w:line="240" w:lineRule="auto"/>
        <w:jc w:val="both"/>
      </w:pPr>
      <w:r>
        <w:t>In order t</w:t>
      </w:r>
      <w:r w:rsidRPr="003A05A1">
        <w:t>o address the financing gaps</w:t>
      </w:r>
      <w:r>
        <w:t xml:space="preserve">, </w:t>
      </w:r>
      <w:r w:rsidRPr="003A05A1">
        <w:t xml:space="preserve">create </w:t>
      </w:r>
      <w:r w:rsidRPr="002347D7">
        <w:rPr>
          <w:rFonts w:eastAsia="Calibri"/>
        </w:rPr>
        <w:t xml:space="preserve">greater synergies between different sources of finance, </w:t>
      </w:r>
      <w:r>
        <w:rPr>
          <w:rFonts w:eastAsia="Calibri"/>
        </w:rPr>
        <w:t>and break the silos between</w:t>
      </w:r>
      <w:r w:rsidRPr="002E50A4">
        <w:t xml:space="preserve"> </w:t>
      </w:r>
      <w:r w:rsidRPr="00831874">
        <w:t>humanitarian, peace and security</w:t>
      </w:r>
      <w:r>
        <w:t>,</w:t>
      </w:r>
      <w:r w:rsidRPr="00831874">
        <w:t xml:space="preserve"> and development assistance</w:t>
      </w:r>
      <w:r>
        <w:t>,</w:t>
      </w:r>
      <w:r>
        <w:rPr>
          <w:rFonts w:eastAsia="Calibri"/>
        </w:rPr>
        <w:t xml:space="preserve"> </w:t>
      </w:r>
      <w:r w:rsidRPr="002347D7">
        <w:rPr>
          <w:rFonts w:eastAsia="Calibri"/>
        </w:rPr>
        <w:t xml:space="preserve">the Global Acceleration Instrument </w:t>
      </w:r>
      <w:r>
        <w:rPr>
          <w:rFonts w:eastAsia="Calibri"/>
        </w:rPr>
        <w:t xml:space="preserve">(GAI) </w:t>
      </w:r>
      <w:r w:rsidRPr="002347D7">
        <w:rPr>
          <w:rFonts w:eastAsia="Calibri"/>
        </w:rPr>
        <w:t xml:space="preserve">on Women, Peace and Security </w:t>
      </w:r>
      <w:r>
        <w:rPr>
          <w:rFonts w:eastAsia="Calibri"/>
        </w:rPr>
        <w:t xml:space="preserve">and Humanitarian Action </w:t>
      </w:r>
      <w:r w:rsidRPr="002347D7">
        <w:rPr>
          <w:rFonts w:eastAsia="Calibri"/>
        </w:rPr>
        <w:t>was launched in February 2016 in New York. The GAI</w:t>
      </w:r>
      <w:r w:rsidR="00EF2EB7">
        <w:rPr>
          <w:rFonts w:eastAsia="Calibri"/>
        </w:rPr>
        <w:t>, now named the Women, Peace and Humanitarian Fund (WPHF)</w:t>
      </w:r>
      <w:r w:rsidRPr="002347D7">
        <w:rPr>
          <w:rFonts w:eastAsia="Calibri"/>
        </w:rPr>
        <w:t xml:space="preserve"> is a recommendation of the Global Study on the implementation of UN Security Council Resolution 1325 (2015), of the Secretary General annual report on Women, Peace and Security (2015), </w:t>
      </w:r>
      <w:r w:rsidR="001A4D67">
        <w:rPr>
          <w:rFonts w:eastAsia="Calibri"/>
        </w:rPr>
        <w:t>and recommended by</w:t>
      </w:r>
      <w:r>
        <w:t xml:space="preserve"> the UN Security Council in its </w:t>
      </w:r>
      <w:r w:rsidR="001A4D67">
        <w:t xml:space="preserve">resolution </w:t>
      </w:r>
      <w:r>
        <w:t>2242 (2015).</w:t>
      </w:r>
    </w:p>
    <w:p w14:paraId="6AFD1019" w14:textId="77777777" w:rsidR="00DF1E39" w:rsidRDefault="00DF1E39" w:rsidP="007807F0">
      <w:pPr>
        <w:spacing w:after="0" w:line="240" w:lineRule="auto"/>
        <w:jc w:val="both"/>
      </w:pPr>
    </w:p>
    <w:p w14:paraId="095F76F0" w14:textId="17FD48EA" w:rsidR="00DF1E39" w:rsidRDefault="00DF1E39" w:rsidP="007807F0">
      <w:pPr>
        <w:spacing w:after="0" w:line="240" w:lineRule="auto"/>
        <w:jc w:val="both"/>
        <w:rPr>
          <w:rFonts w:cs="Calibri"/>
        </w:rPr>
      </w:pPr>
      <w:r>
        <w:t xml:space="preserve">As an instrument mainly aimed at funding local women’s organizations, including in humanitarian settings, the </w:t>
      </w:r>
      <w:r w:rsidR="00EF2EB7">
        <w:t xml:space="preserve">WPHF </w:t>
      </w:r>
      <w:r>
        <w:t>is also a concrete response to the commitments of the World Humanitarian Summit (2016) in terms of establishing pooled funding mechanisms, localizing the humanitarian response, ensuring national ownership, as well as increasing investment in civil society organizations and in gender equality.</w:t>
      </w:r>
    </w:p>
    <w:p w14:paraId="2E627F60" w14:textId="77777777" w:rsidR="00DF1E39" w:rsidRDefault="00DF1E39" w:rsidP="007807F0">
      <w:pPr>
        <w:spacing w:after="0" w:line="240" w:lineRule="auto"/>
        <w:jc w:val="both"/>
        <w:rPr>
          <w:rFonts w:cs="Calibri"/>
        </w:rPr>
      </w:pPr>
    </w:p>
    <w:p w14:paraId="13BD4378" w14:textId="77777777" w:rsidR="001B51A8" w:rsidRDefault="00125E43" w:rsidP="0099066B">
      <w:pPr>
        <w:spacing w:after="0"/>
        <w:jc w:val="both"/>
      </w:pPr>
      <w:r>
        <w:lastRenderedPageBreak/>
        <w:br/>
      </w:r>
    </w:p>
    <w:p w14:paraId="5ED211E8" w14:textId="77777777" w:rsidR="00CE6BCC" w:rsidRDefault="00CE6BCC" w:rsidP="0099066B">
      <w:pPr>
        <w:spacing w:after="0"/>
        <w:jc w:val="both"/>
      </w:pPr>
    </w:p>
    <w:p w14:paraId="3C05DDC7" w14:textId="6AE308BB" w:rsidR="001B51A8" w:rsidRDefault="001B51A8" w:rsidP="0099066B">
      <w:pPr>
        <w:pStyle w:val="ListParagraph"/>
        <w:numPr>
          <w:ilvl w:val="0"/>
          <w:numId w:val="1"/>
        </w:numPr>
        <w:spacing w:after="0"/>
        <w:jc w:val="both"/>
        <w:rPr>
          <w:b/>
        </w:rPr>
      </w:pPr>
      <w:r>
        <w:rPr>
          <w:b/>
        </w:rPr>
        <w:t xml:space="preserve">About the </w:t>
      </w:r>
      <w:r w:rsidR="00EF2EB7">
        <w:rPr>
          <w:b/>
        </w:rPr>
        <w:t>WPHF</w:t>
      </w:r>
    </w:p>
    <w:p w14:paraId="4819F5BB" w14:textId="77777777" w:rsidR="001B51A8" w:rsidRDefault="001B51A8" w:rsidP="0099066B">
      <w:pPr>
        <w:spacing w:after="0"/>
        <w:jc w:val="both"/>
      </w:pPr>
    </w:p>
    <w:p w14:paraId="26F4E9FE" w14:textId="22D2D1F7" w:rsidR="001806BB" w:rsidRDefault="00125E43" w:rsidP="0099066B">
      <w:pPr>
        <w:spacing w:after="0"/>
        <w:jc w:val="both"/>
      </w:pPr>
      <w:r>
        <w:br/>
      </w:r>
      <w:r w:rsidR="001B51A8" w:rsidRPr="003A05A1">
        <w:t>Composed of representatives from donors, United Nations entities</w:t>
      </w:r>
      <w:r w:rsidR="001B51A8">
        <w:t>,</w:t>
      </w:r>
      <w:r w:rsidR="001B51A8" w:rsidRPr="003A05A1">
        <w:t xml:space="preserve"> and civil society</w:t>
      </w:r>
      <w:r w:rsidR="001B51A8">
        <w:t xml:space="preserve"> organizations, the </w:t>
      </w:r>
      <w:r w:rsidR="00EF2EB7">
        <w:t xml:space="preserve">WPHF </w:t>
      </w:r>
    </w:p>
    <w:p w14:paraId="1CC16DB2" w14:textId="4AF5B656" w:rsidR="00BD0265" w:rsidRDefault="00EF2EB7" w:rsidP="0099066B">
      <w:pPr>
        <w:spacing w:after="0"/>
        <w:jc w:val="both"/>
      </w:pPr>
      <w:r>
        <w:t>i</w:t>
      </w:r>
      <w:r w:rsidR="001B51A8">
        <w:t>s a</w:t>
      </w:r>
      <w:r w:rsidR="00BD0265">
        <w:t xml:space="preserve"> global pooled funding mechanism which aims to re-energize action and stimulate a significant increase in financing for women’s participation, leadership, and empowerment in peace and security processes and humanitarian response. The </w:t>
      </w:r>
      <w:r>
        <w:t xml:space="preserve">WPHF </w:t>
      </w:r>
      <w:r w:rsidR="00BD0265">
        <w:t>is a flexible and rapid financing mechanism. It supports quality interventions designed to enhance the capacity of local women to prevent conflict, respond to crises and emergencies, and seize key peacebuilding opportunities</w:t>
      </w:r>
      <w:r w:rsidR="001A4D67">
        <w:t>.</w:t>
      </w:r>
    </w:p>
    <w:p w14:paraId="439A16E3" w14:textId="77777777" w:rsidR="00BD0265" w:rsidRDefault="00BD0265" w:rsidP="0099066B">
      <w:pPr>
        <w:spacing w:after="0"/>
        <w:jc w:val="both"/>
      </w:pPr>
    </w:p>
    <w:p w14:paraId="096CD869" w14:textId="4F60D7EF" w:rsidR="00BD0265" w:rsidRDefault="00BD0265" w:rsidP="0099066B">
      <w:pPr>
        <w:spacing w:after="200"/>
        <w:jc w:val="both"/>
        <w:rPr>
          <w:rFonts w:ascii="Calibri" w:hAnsi="Calibri"/>
        </w:rPr>
      </w:pPr>
      <w:r w:rsidRPr="00204DEF">
        <w:rPr>
          <w:rFonts w:ascii="Calibri" w:hAnsi="Calibri" w:cs="Calibri"/>
          <w:lang w:eastAsia="en-GB"/>
        </w:rPr>
        <w:t xml:space="preserve">The </w:t>
      </w:r>
      <w:r w:rsidR="00EF2EB7">
        <w:rPr>
          <w:rFonts w:ascii="Calibri" w:hAnsi="Calibri" w:cs="Calibri"/>
          <w:lang w:eastAsia="en-GB"/>
        </w:rPr>
        <w:t>WPHF</w:t>
      </w:r>
      <w:r w:rsidR="00EF2EB7" w:rsidRPr="00204DEF">
        <w:rPr>
          <w:rFonts w:ascii="Calibri" w:hAnsi="Calibri" w:cs="Calibri"/>
          <w:lang w:eastAsia="en-GB"/>
        </w:rPr>
        <w:t xml:space="preserve"> </w:t>
      </w:r>
      <w:r w:rsidRPr="00204DEF">
        <w:rPr>
          <w:rFonts w:ascii="Calibri" w:hAnsi="Calibri" w:cs="Calibri"/>
          <w:lang w:eastAsia="en-GB"/>
        </w:rPr>
        <w:t xml:space="preserve">has three </w:t>
      </w:r>
      <w:r w:rsidRPr="00204DEF">
        <w:rPr>
          <w:rFonts w:ascii="Calibri" w:hAnsi="Calibri"/>
        </w:rPr>
        <w:t>main functions</w:t>
      </w:r>
      <w:r>
        <w:rPr>
          <w:rFonts w:ascii="Calibri" w:hAnsi="Calibri"/>
        </w:rPr>
        <w:t>:</w:t>
      </w:r>
    </w:p>
    <w:p w14:paraId="2FB6F4BC" w14:textId="77777777" w:rsidR="00BD0265" w:rsidRPr="00204DEF" w:rsidRDefault="00BD0265" w:rsidP="0099066B">
      <w:pPr>
        <w:spacing w:after="200"/>
        <w:jc w:val="both"/>
        <w:rPr>
          <w:rFonts w:ascii="Calibri" w:hAnsi="Calibri" w:cs="Arial"/>
        </w:rPr>
      </w:pPr>
      <w:r w:rsidRPr="00204DEF">
        <w:rPr>
          <w:rFonts w:ascii="Calibri" w:hAnsi="Calibri"/>
        </w:rPr>
        <w:t>First, it breaks silos between humanitarian, peace, security</w:t>
      </w:r>
      <w:r>
        <w:rPr>
          <w:rFonts w:ascii="Calibri" w:hAnsi="Calibri"/>
        </w:rPr>
        <w:t>,</w:t>
      </w:r>
      <w:r w:rsidRPr="00204DEF">
        <w:rPr>
          <w:rFonts w:ascii="Calibri" w:hAnsi="Calibri"/>
        </w:rPr>
        <w:t xml:space="preserve"> and development finance by i</w:t>
      </w:r>
      <w:r>
        <w:rPr>
          <w:rFonts w:ascii="Calibri" w:hAnsi="Calibri" w:cs="Arial"/>
        </w:rPr>
        <w:t>nvesting i</w:t>
      </w:r>
      <w:r w:rsidRPr="00204DEF">
        <w:rPr>
          <w:rFonts w:ascii="Calibri" w:hAnsi="Calibri" w:cs="Arial"/>
        </w:rPr>
        <w:t>n enhancing women’s engagement, leadership</w:t>
      </w:r>
      <w:r>
        <w:rPr>
          <w:rFonts w:ascii="Calibri" w:hAnsi="Calibri" w:cs="Arial"/>
        </w:rPr>
        <w:t>,</w:t>
      </w:r>
      <w:r w:rsidRPr="00204DEF">
        <w:rPr>
          <w:rFonts w:ascii="Calibri" w:hAnsi="Calibri" w:cs="Arial"/>
        </w:rPr>
        <w:t xml:space="preserve"> and empowerment across all phases of crisis, peace and security, and development. </w:t>
      </w:r>
    </w:p>
    <w:p w14:paraId="18D799CE" w14:textId="77777777" w:rsidR="00BD0265" w:rsidRPr="00204DEF" w:rsidRDefault="00BD0265" w:rsidP="0099066B">
      <w:pPr>
        <w:spacing w:after="200"/>
        <w:jc w:val="both"/>
        <w:rPr>
          <w:rFonts w:ascii="Calibri" w:hAnsi="Calibri" w:cs="Arial"/>
        </w:rPr>
      </w:pPr>
      <w:r w:rsidRPr="00204DEF">
        <w:rPr>
          <w:rFonts w:ascii="Calibri" w:hAnsi="Calibri" w:cs="Arial"/>
        </w:rPr>
        <w:t xml:space="preserve">Second, it addresses structural funding gaps for women’s participation in key phases </w:t>
      </w:r>
      <w:r>
        <w:rPr>
          <w:rFonts w:ascii="Calibri" w:hAnsi="Calibri" w:cs="Arial"/>
        </w:rPr>
        <w:t xml:space="preserve">of </w:t>
      </w:r>
      <w:r w:rsidRPr="00204DEF">
        <w:rPr>
          <w:rFonts w:ascii="Calibri" w:hAnsi="Calibri" w:cs="Arial"/>
        </w:rPr>
        <w:t>crisis, peac</w:t>
      </w:r>
      <w:r>
        <w:rPr>
          <w:rFonts w:ascii="Calibri" w:hAnsi="Calibri" w:cs="Arial"/>
        </w:rPr>
        <w:t xml:space="preserve">e and security, and development </w:t>
      </w:r>
      <w:r w:rsidRPr="00204DEF">
        <w:rPr>
          <w:rFonts w:ascii="Calibri" w:hAnsi="Calibri" w:cs="Arial"/>
        </w:rPr>
        <w:t>by improving the timeliness, predictability and flexibility of international assistance. Notably, it will ensure a timely investment in</w:t>
      </w:r>
      <w:r>
        <w:rPr>
          <w:rFonts w:ascii="Calibri" w:hAnsi="Calibri" w:cs="Arial"/>
        </w:rPr>
        <w:t xml:space="preserve"> conflict</w:t>
      </w:r>
      <w:r w:rsidRPr="00204DEF">
        <w:rPr>
          <w:rFonts w:ascii="Calibri" w:hAnsi="Calibri" w:cs="Arial"/>
        </w:rPr>
        <w:t xml:space="preserve"> prevent</w:t>
      </w:r>
      <w:r>
        <w:rPr>
          <w:rFonts w:ascii="Calibri" w:hAnsi="Calibri" w:cs="Arial"/>
        </w:rPr>
        <w:t>ion after receipt of</w:t>
      </w:r>
      <w:r w:rsidRPr="00204DEF">
        <w:rPr>
          <w:rFonts w:ascii="Calibri" w:hAnsi="Calibri" w:cs="Arial"/>
        </w:rPr>
        <w:t xml:space="preserve"> early warning </w:t>
      </w:r>
      <w:r>
        <w:rPr>
          <w:rFonts w:ascii="Calibri" w:hAnsi="Calibri" w:cs="Arial"/>
        </w:rPr>
        <w:t xml:space="preserve">signals from women, </w:t>
      </w:r>
      <w:r w:rsidRPr="00204DEF">
        <w:rPr>
          <w:rFonts w:ascii="Calibri" w:hAnsi="Calibri" w:cs="Arial"/>
        </w:rPr>
        <w:t xml:space="preserve">and </w:t>
      </w:r>
      <w:r>
        <w:rPr>
          <w:rFonts w:ascii="Calibri" w:hAnsi="Calibri" w:cs="Arial"/>
        </w:rPr>
        <w:t xml:space="preserve">will </w:t>
      </w:r>
      <w:r w:rsidRPr="00204DEF">
        <w:rPr>
          <w:rFonts w:ascii="Calibri" w:hAnsi="Calibri" w:cs="Arial"/>
        </w:rPr>
        <w:t xml:space="preserve">accelerate the </w:t>
      </w:r>
      <w:r>
        <w:rPr>
          <w:rFonts w:ascii="Calibri" w:hAnsi="Calibri" w:cs="Arial"/>
        </w:rPr>
        <w:t>dispersal</w:t>
      </w:r>
      <w:r w:rsidRPr="00204DEF">
        <w:rPr>
          <w:rFonts w:ascii="Calibri" w:hAnsi="Calibri" w:cs="Arial"/>
        </w:rPr>
        <w:t xml:space="preserve"> of development assistance after successful peace negotiations.</w:t>
      </w:r>
    </w:p>
    <w:p w14:paraId="22342E95" w14:textId="5148CBBB" w:rsidR="00BD0265" w:rsidRPr="00204DEF" w:rsidRDefault="00BD0265" w:rsidP="0099066B">
      <w:pPr>
        <w:jc w:val="both"/>
        <w:rPr>
          <w:rFonts w:ascii="Calibri" w:hAnsi="Calibri" w:cs="Arial"/>
        </w:rPr>
      </w:pPr>
      <w:r w:rsidRPr="00204DEF">
        <w:rPr>
          <w:rFonts w:ascii="Calibri" w:hAnsi="Calibri"/>
        </w:rPr>
        <w:t xml:space="preserve">Third, </w:t>
      </w:r>
      <w:r>
        <w:rPr>
          <w:rFonts w:ascii="Calibri" w:hAnsi="Calibri" w:cs="Calibri"/>
          <w:lang w:eastAsia="en-GB"/>
        </w:rPr>
        <w:t>it recognizes</w:t>
      </w:r>
      <w:r w:rsidRPr="00204DEF">
        <w:rPr>
          <w:rFonts w:ascii="Calibri" w:hAnsi="Calibri" w:cs="Calibri"/>
          <w:lang w:eastAsia="en-GB"/>
        </w:rPr>
        <w:t xml:space="preserve"> that peace cannot be created nor sustained without investment in both the government and civil society organizations</w:t>
      </w:r>
      <w:r>
        <w:rPr>
          <w:rFonts w:ascii="Calibri" w:hAnsi="Calibri" w:cs="Calibri"/>
          <w:lang w:eastAsia="en-GB"/>
        </w:rPr>
        <w:t>. Therefore,</w:t>
      </w:r>
      <w:r w:rsidRPr="00204DEF">
        <w:rPr>
          <w:rFonts w:ascii="Calibri" w:hAnsi="Calibri" w:cs="Calibri"/>
          <w:lang w:eastAsia="en-GB"/>
        </w:rPr>
        <w:t xml:space="preserve"> the </w:t>
      </w:r>
      <w:r w:rsidR="00EF2EB7">
        <w:rPr>
          <w:rFonts w:ascii="Calibri" w:hAnsi="Calibri" w:cs="Calibri"/>
          <w:lang w:eastAsia="en-GB"/>
        </w:rPr>
        <w:t>WPHF</w:t>
      </w:r>
      <w:r w:rsidR="00EF2EB7" w:rsidRPr="00204DEF">
        <w:rPr>
          <w:rFonts w:ascii="Calibri" w:hAnsi="Calibri" w:cs="Calibri"/>
          <w:lang w:eastAsia="en-GB"/>
        </w:rPr>
        <w:t xml:space="preserve"> </w:t>
      </w:r>
      <w:r w:rsidRPr="00204DEF">
        <w:rPr>
          <w:rFonts w:ascii="Calibri" w:hAnsi="Calibri" w:cs="Arial"/>
        </w:rPr>
        <w:t>will improve</w:t>
      </w:r>
      <w:r>
        <w:rPr>
          <w:rFonts w:ascii="Calibri" w:hAnsi="Calibri" w:cs="Arial"/>
        </w:rPr>
        <w:t xml:space="preserve"> the</w:t>
      </w:r>
      <w:r w:rsidRPr="00204DEF">
        <w:rPr>
          <w:rFonts w:ascii="Calibri" w:hAnsi="Calibri" w:cs="Arial"/>
        </w:rPr>
        <w:t xml:space="preserve"> coordination and policy coherence of the </w:t>
      </w:r>
      <w:r>
        <w:rPr>
          <w:rFonts w:ascii="Calibri" w:hAnsi="Calibri" w:cs="Arial"/>
        </w:rPr>
        <w:t xml:space="preserve">Women, Peace, and Security (WPS) </w:t>
      </w:r>
      <w:r w:rsidRPr="00204DEF">
        <w:rPr>
          <w:rFonts w:ascii="Calibri" w:hAnsi="Calibri" w:cs="Arial"/>
        </w:rPr>
        <w:t>agenda</w:t>
      </w:r>
      <w:r>
        <w:rPr>
          <w:rFonts w:ascii="Calibri" w:hAnsi="Calibri" w:cs="Calibri"/>
          <w:lang w:eastAsia="en-GB"/>
        </w:rPr>
        <w:t>, by investing</w:t>
      </w:r>
      <w:r w:rsidRPr="00204DEF">
        <w:rPr>
          <w:rFonts w:ascii="Calibri" w:hAnsi="Calibri" w:cs="Calibri"/>
          <w:lang w:eastAsia="en-GB"/>
        </w:rPr>
        <w:t xml:space="preserve"> in strengthening </w:t>
      </w:r>
      <w:r>
        <w:rPr>
          <w:rFonts w:ascii="Calibri" w:hAnsi="Calibri" w:cs="Calibri"/>
          <w:lang w:eastAsia="en-GB"/>
        </w:rPr>
        <w:t xml:space="preserve">civil society </w:t>
      </w:r>
      <w:r w:rsidRPr="00204DEF">
        <w:rPr>
          <w:rFonts w:ascii="Calibri" w:hAnsi="Calibri" w:cs="Calibri"/>
          <w:lang w:eastAsia="en-GB"/>
        </w:rPr>
        <w:t xml:space="preserve">organizations, particularly in grassroots women’s organizations, with the required financial and </w:t>
      </w:r>
      <w:r>
        <w:rPr>
          <w:rFonts w:ascii="Calibri" w:hAnsi="Calibri" w:cs="Arial"/>
        </w:rPr>
        <w:t>technical support, as well as supporting government and UN agencies.</w:t>
      </w:r>
    </w:p>
    <w:p w14:paraId="46EBCD31" w14:textId="70BCB1F4" w:rsidR="00BD0265" w:rsidRDefault="00BD0265" w:rsidP="0099066B">
      <w:pPr>
        <w:spacing w:after="0"/>
        <w:jc w:val="both"/>
      </w:pPr>
      <w:r w:rsidRPr="00204DEF">
        <w:rPr>
          <w:rFonts w:ascii="Calibri" w:hAnsi="Calibri"/>
        </w:rPr>
        <w:t xml:space="preserve">The overall goal </w:t>
      </w:r>
      <w:r>
        <w:rPr>
          <w:rFonts w:ascii="Calibri" w:hAnsi="Calibri"/>
        </w:rPr>
        <w:t xml:space="preserve">of the </w:t>
      </w:r>
      <w:r w:rsidR="00EF2EB7">
        <w:rPr>
          <w:rFonts w:ascii="Calibri" w:hAnsi="Calibri"/>
        </w:rPr>
        <w:t xml:space="preserve">WPHF’s </w:t>
      </w:r>
      <w:r>
        <w:rPr>
          <w:rFonts w:ascii="Calibri" w:hAnsi="Calibri"/>
        </w:rPr>
        <w:t xml:space="preserve">theory of change </w:t>
      </w:r>
      <w:r w:rsidRPr="00204DEF">
        <w:rPr>
          <w:rFonts w:ascii="Calibri" w:hAnsi="Calibri"/>
        </w:rPr>
        <w:t xml:space="preserve">is to achieve </w:t>
      </w:r>
      <w:r w:rsidRPr="00204DEF">
        <w:rPr>
          <w:rFonts w:ascii="Calibri" w:hAnsi="Calibri"/>
          <w:b/>
        </w:rPr>
        <w:t>peaceful and gender equal societies</w:t>
      </w:r>
      <w:r w:rsidRPr="00204DEF">
        <w:rPr>
          <w:rFonts w:ascii="Calibri" w:hAnsi="Calibri"/>
        </w:rPr>
        <w:t>. Achievement of this goal will require that women are empowered to participate in, contribute to, and benefit from conflict prevention, crisis response, peacebuilding, and recovery.</w:t>
      </w:r>
    </w:p>
    <w:p w14:paraId="5F2B9A14" w14:textId="77777777" w:rsidR="00BD0265" w:rsidRDefault="00BD0265" w:rsidP="0099066B">
      <w:pPr>
        <w:spacing w:after="0"/>
        <w:jc w:val="both"/>
      </w:pPr>
    </w:p>
    <w:p w14:paraId="26C2E3D5" w14:textId="3549487F" w:rsidR="00BD0265" w:rsidRPr="007A4E8B" w:rsidRDefault="00BD0265" w:rsidP="0099066B">
      <w:pPr>
        <w:spacing w:after="0"/>
        <w:jc w:val="both"/>
        <w:rPr>
          <w:rFonts w:cstheme="minorHAnsi"/>
        </w:rPr>
      </w:pPr>
      <w:r w:rsidRPr="007A4E8B">
        <w:rPr>
          <w:rFonts w:cstheme="minorHAnsi"/>
        </w:rPr>
        <w:t xml:space="preserve">The </w:t>
      </w:r>
      <w:r w:rsidR="00EF2EB7">
        <w:rPr>
          <w:rFonts w:cstheme="minorHAnsi"/>
        </w:rPr>
        <w:t xml:space="preserve">WPHF’s </w:t>
      </w:r>
      <w:r>
        <w:rPr>
          <w:rFonts w:cstheme="minorHAnsi"/>
        </w:rPr>
        <w:t xml:space="preserve">intervention </w:t>
      </w:r>
      <w:r w:rsidRPr="007A4E8B">
        <w:rPr>
          <w:rFonts w:cstheme="minorHAnsi"/>
        </w:rPr>
        <w:t>expects the following six outcomes as part of its theory of change (more information can be found in the Operation</w:t>
      </w:r>
      <w:r>
        <w:rPr>
          <w:rFonts w:cstheme="minorHAnsi"/>
        </w:rPr>
        <w:t>s</w:t>
      </w:r>
      <w:r w:rsidRPr="007A4E8B">
        <w:rPr>
          <w:rFonts w:cstheme="minorHAnsi"/>
        </w:rPr>
        <w:t xml:space="preserve"> Manual, Section 4.1). </w:t>
      </w:r>
    </w:p>
    <w:p w14:paraId="1DAB31CE" w14:textId="77777777" w:rsidR="00BD0265" w:rsidRDefault="00BD0265" w:rsidP="0099066B">
      <w:pPr>
        <w:spacing w:after="0"/>
        <w:jc w:val="both"/>
        <w:rPr>
          <w:rFonts w:cstheme="minorHAnsi"/>
        </w:rPr>
      </w:pPr>
    </w:p>
    <w:p w14:paraId="4BA273FE" w14:textId="77777777" w:rsidR="00BD0265" w:rsidRDefault="00BD0265" w:rsidP="0099066B">
      <w:pPr>
        <w:spacing w:after="200" w:line="276" w:lineRule="auto"/>
        <w:ind w:left="1080"/>
        <w:contextualSpacing/>
        <w:jc w:val="both"/>
      </w:pPr>
      <w:r w:rsidRPr="00913ED8">
        <w:rPr>
          <w:b/>
        </w:rPr>
        <w:t xml:space="preserve">Outcome 1: </w:t>
      </w:r>
      <w:r>
        <w:rPr>
          <w:b/>
        </w:rPr>
        <w:t>An e</w:t>
      </w:r>
      <w:r w:rsidRPr="00C3146A">
        <w:rPr>
          <w:b/>
        </w:rPr>
        <w:t>nabling environment for the implementation of WPS commitment</w:t>
      </w:r>
      <w:r>
        <w:rPr>
          <w:b/>
        </w:rPr>
        <w:t xml:space="preserve">: </w:t>
      </w:r>
      <w:r>
        <w:t>This can be achieved</w:t>
      </w:r>
      <w:r w:rsidRPr="00C3146A">
        <w:t xml:space="preserve"> through</w:t>
      </w:r>
      <w:r>
        <w:t xml:space="preserve"> evidence-based advocacy and technical support to ensure the adoption of quality, locally relevant accountability frameworks that meet emerging threats and challenges (including violent extremism), and that address attitudinal and cultural biases. </w:t>
      </w:r>
    </w:p>
    <w:p w14:paraId="3248AE0B" w14:textId="77777777" w:rsidR="00BD0265" w:rsidRDefault="00BD0265" w:rsidP="0099066B">
      <w:pPr>
        <w:ind w:left="360"/>
        <w:contextualSpacing/>
        <w:jc w:val="both"/>
      </w:pPr>
    </w:p>
    <w:p w14:paraId="29499C83" w14:textId="77777777" w:rsidR="00BD0265" w:rsidRDefault="00BD0265" w:rsidP="0099066B">
      <w:pPr>
        <w:spacing w:after="200" w:line="276" w:lineRule="auto"/>
        <w:ind w:left="1080"/>
        <w:contextualSpacing/>
        <w:jc w:val="both"/>
      </w:pPr>
      <w:r w:rsidRPr="00913ED8">
        <w:rPr>
          <w:b/>
        </w:rPr>
        <w:t xml:space="preserve">Outcome 2: </w:t>
      </w:r>
      <w:r>
        <w:rPr>
          <w:b/>
        </w:rPr>
        <w:t>W</w:t>
      </w:r>
      <w:r w:rsidRPr="00C3146A">
        <w:rPr>
          <w:b/>
        </w:rPr>
        <w:t>omen’s meaningful participation in conflict prevention</w:t>
      </w:r>
      <w:r>
        <w:rPr>
          <w:b/>
        </w:rPr>
        <w:t xml:space="preserve">: </w:t>
      </w:r>
      <w:r>
        <w:t xml:space="preserve">This can be accomplished by promoting favorable attitudes towards women’s participation in conflict prevention by the parties to the conflict and local communities, by ensuring that local women’s organizations have the capacity to identify and respond to threats by establishing networks, early-warning systems and mechanisms </w:t>
      </w:r>
      <w:r>
        <w:lastRenderedPageBreak/>
        <w:t xml:space="preserve">that offer opportunities for dialogue and peaceful engagement, and by connecting women’s conflict prevention mechanisms to national and international reporting and response systems. </w:t>
      </w:r>
    </w:p>
    <w:p w14:paraId="7F0CEB06" w14:textId="45279AF1" w:rsidR="0095676C" w:rsidRDefault="0095676C" w:rsidP="0099066B">
      <w:pPr>
        <w:spacing w:after="200" w:line="276" w:lineRule="auto"/>
        <w:ind w:left="1080"/>
        <w:contextualSpacing/>
        <w:jc w:val="both"/>
        <w:rPr>
          <w:b/>
        </w:rPr>
      </w:pPr>
    </w:p>
    <w:p w14:paraId="6BA580DA" w14:textId="709E2C0D" w:rsidR="00BD0265" w:rsidRDefault="00BD0265" w:rsidP="0099066B">
      <w:pPr>
        <w:spacing w:after="200" w:line="276" w:lineRule="auto"/>
        <w:ind w:left="1080"/>
        <w:contextualSpacing/>
        <w:jc w:val="both"/>
      </w:pPr>
      <w:r w:rsidRPr="00913ED8">
        <w:rPr>
          <w:b/>
        </w:rPr>
        <w:t xml:space="preserve">Outcome 3: </w:t>
      </w:r>
      <w:r>
        <w:rPr>
          <w:b/>
        </w:rPr>
        <w:t>H</w:t>
      </w:r>
      <w:r w:rsidRPr="00D71531">
        <w:rPr>
          <w:b/>
        </w:rPr>
        <w:t xml:space="preserve">umanitarian/crisis response planning, frameworks and programming </w:t>
      </w:r>
      <w:r>
        <w:rPr>
          <w:b/>
        </w:rPr>
        <w:t>which is in</w:t>
      </w:r>
      <w:r w:rsidRPr="00D71531">
        <w:rPr>
          <w:b/>
        </w:rPr>
        <w:t>formed by gender analysis and needs assessments</w:t>
      </w:r>
      <w:r>
        <w:rPr>
          <w:b/>
        </w:rPr>
        <w:t xml:space="preserve">: </w:t>
      </w:r>
      <w:r w:rsidRPr="00D71531">
        <w:t>This</w:t>
      </w:r>
      <w:r>
        <w:t xml:space="preserve"> requires both the technical tools as well as direct support to local women’s organizations to engage effectively in humanitarian planning and programming. </w:t>
      </w:r>
    </w:p>
    <w:p w14:paraId="474D143F" w14:textId="77777777" w:rsidR="00BD0265" w:rsidRDefault="00BD0265" w:rsidP="0099066B">
      <w:pPr>
        <w:ind w:left="360"/>
        <w:contextualSpacing/>
        <w:jc w:val="both"/>
      </w:pPr>
    </w:p>
    <w:p w14:paraId="730E81D6" w14:textId="77777777" w:rsidR="00BD0265" w:rsidRDefault="00BD0265" w:rsidP="0099066B">
      <w:pPr>
        <w:spacing w:after="200" w:line="276" w:lineRule="auto"/>
        <w:ind w:left="1080"/>
        <w:contextualSpacing/>
        <w:jc w:val="both"/>
      </w:pPr>
      <w:r w:rsidRPr="00913ED8">
        <w:rPr>
          <w:b/>
        </w:rPr>
        <w:t>Outcome 4: Conflict resolution</w:t>
      </w:r>
      <w:r>
        <w:rPr>
          <w:b/>
        </w:rPr>
        <w:t xml:space="preserve">: </w:t>
      </w:r>
      <w:r>
        <w:t xml:space="preserve">This can be achieved </w:t>
      </w:r>
      <w:r w:rsidRPr="009C3FB5">
        <w:t>by</w:t>
      </w:r>
      <w:r>
        <w:t xml:space="preserve"> addressing attitudinal and cultural barriers to women’s representation and participation in formal and informal peace negotiations </w:t>
      </w:r>
      <w:r w:rsidR="001A4D67">
        <w:t>and provision of targeted gender expertise.</w:t>
      </w:r>
    </w:p>
    <w:p w14:paraId="0E97DD7D" w14:textId="77777777" w:rsidR="00BD0265" w:rsidRDefault="00BD0265" w:rsidP="0099066B">
      <w:pPr>
        <w:ind w:left="360"/>
        <w:contextualSpacing/>
        <w:jc w:val="both"/>
      </w:pPr>
    </w:p>
    <w:p w14:paraId="7318C9DE" w14:textId="77777777" w:rsidR="00BD0265" w:rsidRDefault="00BD0265" w:rsidP="0099066B">
      <w:pPr>
        <w:spacing w:after="200" w:line="276" w:lineRule="auto"/>
        <w:ind w:left="1080"/>
        <w:contextualSpacing/>
        <w:jc w:val="both"/>
      </w:pPr>
      <w:r w:rsidRPr="00913ED8">
        <w:rPr>
          <w:b/>
        </w:rPr>
        <w:t xml:space="preserve">Outcome 5: </w:t>
      </w:r>
      <w:r>
        <w:rPr>
          <w:b/>
        </w:rPr>
        <w:t xml:space="preserve">Protection: </w:t>
      </w:r>
      <w:r>
        <w:t>This can be accomplished b</w:t>
      </w:r>
      <w:r w:rsidRPr="009C3FB5">
        <w:t xml:space="preserve">y ensuring that </w:t>
      </w:r>
      <w:r>
        <w:t xml:space="preserve">women and girls’ safety, physical and mental health, and security is assured and that their human rights are respected through measures that prevent acts of violence, facilitates access to services for survivors of violence, and strengthens accountability mechanisms. </w:t>
      </w:r>
    </w:p>
    <w:p w14:paraId="1905321A" w14:textId="77777777" w:rsidR="00BD0265" w:rsidRDefault="00BD0265" w:rsidP="0099066B">
      <w:pPr>
        <w:spacing w:after="200" w:line="276" w:lineRule="auto"/>
        <w:ind w:left="1080"/>
        <w:contextualSpacing/>
        <w:jc w:val="both"/>
      </w:pPr>
    </w:p>
    <w:p w14:paraId="775FCB03" w14:textId="77777777" w:rsidR="00BD0265" w:rsidRDefault="00BD0265" w:rsidP="0099066B">
      <w:pPr>
        <w:spacing w:after="200" w:line="276" w:lineRule="auto"/>
        <w:ind w:left="1080"/>
        <w:contextualSpacing/>
        <w:jc w:val="both"/>
      </w:pPr>
      <w:r w:rsidRPr="00913ED8">
        <w:rPr>
          <w:b/>
        </w:rPr>
        <w:t>Outcome 6: Peacebuilding and recovery</w:t>
      </w:r>
      <w:r>
        <w:rPr>
          <w:b/>
        </w:rPr>
        <w:t xml:space="preserve"> investments which benefit women: </w:t>
      </w:r>
      <w:r w:rsidRPr="003E106B">
        <w:t>This can be realized by ensuring that women have</w:t>
      </w:r>
      <w:r>
        <w:t xml:space="preserve"> the capacity and opportunity to meaningfully participate in recovery planning in order to guarantee that women’s and girls’ specific needs are met in conflict and post-conflict situations. </w:t>
      </w:r>
    </w:p>
    <w:p w14:paraId="30FC1B71" w14:textId="77777777" w:rsidR="001253D5" w:rsidRPr="00E7692B" w:rsidRDefault="001253D5" w:rsidP="0099066B">
      <w:pPr>
        <w:spacing w:after="200" w:line="276" w:lineRule="auto"/>
        <w:ind w:left="1080"/>
        <w:contextualSpacing/>
        <w:jc w:val="both"/>
      </w:pPr>
    </w:p>
    <w:p w14:paraId="52B58083" w14:textId="576EF91E" w:rsidR="001253D5" w:rsidRDefault="001253D5" w:rsidP="0099066B">
      <w:pPr>
        <w:pStyle w:val="ListParagraph"/>
        <w:numPr>
          <w:ilvl w:val="0"/>
          <w:numId w:val="1"/>
        </w:numPr>
        <w:spacing w:after="0"/>
        <w:jc w:val="both"/>
        <w:rPr>
          <w:b/>
        </w:rPr>
      </w:pPr>
      <w:r>
        <w:rPr>
          <w:b/>
        </w:rPr>
        <w:t xml:space="preserve">The </w:t>
      </w:r>
      <w:r w:rsidR="00EF2EB7">
        <w:rPr>
          <w:b/>
        </w:rPr>
        <w:t xml:space="preserve">WPHF’s </w:t>
      </w:r>
      <w:r>
        <w:rPr>
          <w:b/>
        </w:rPr>
        <w:t>structure</w:t>
      </w:r>
    </w:p>
    <w:p w14:paraId="180FFFDA" w14:textId="77777777" w:rsidR="00BD0265" w:rsidRDefault="00BD0265" w:rsidP="0099066B">
      <w:pPr>
        <w:spacing w:after="0"/>
        <w:jc w:val="both"/>
        <w:rPr>
          <w:rFonts w:cstheme="minorHAnsi"/>
        </w:rPr>
      </w:pPr>
    </w:p>
    <w:p w14:paraId="38D71501" w14:textId="5757CA97" w:rsidR="009225E3" w:rsidRDefault="009225E3" w:rsidP="0099066B">
      <w:pPr>
        <w:spacing w:after="0"/>
        <w:jc w:val="both"/>
        <w:rPr>
          <w:rFonts w:cstheme="minorHAnsi"/>
        </w:rPr>
      </w:pPr>
      <w:r>
        <w:rPr>
          <w:rFonts w:cstheme="minorHAnsi"/>
        </w:rPr>
        <w:t xml:space="preserve">The </w:t>
      </w:r>
      <w:r w:rsidR="00EF2EB7">
        <w:rPr>
          <w:rFonts w:cstheme="minorHAnsi"/>
        </w:rPr>
        <w:t xml:space="preserve">WPHF </w:t>
      </w:r>
      <w:r>
        <w:rPr>
          <w:rFonts w:cstheme="minorHAnsi"/>
        </w:rPr>
        <w:t xml:space="preserve">is governed by a Funding Board at the global level, which is comprised of four UN entities (currently UN Women, UNDP, UNFPA and PBSO), </w:t>
      </w:r>
      <w:r w:rsidR="00027BA5">
        <w:rPr>
          <w:rFonts w:cstheme="minorHAnsi"/>
        </w:rPr>
        <w:t xml:space="preserve">four donor Member States (currently Australia, the UK, Ireland and Spain), as well as 4 Civil Society Organizations (currently Cordaid, GNWP, APWAPS and WANEP). The Funding Board decides on the </w:t>
      </w:r>
      <w:r w:rsidR="001A4D67">
        <w:rPr>
          <w:rFonts w:cstheme="minorHAnsi"/>
        </w:rPr>
        <w:t>country allocations</w:t>
      </w:r>
      <w:r w:rsidR="00027BA5">
        <w:rPr>
          <w:rFonts w:cstheme="minorHAnsi"/>
        </w:rPr>
        <w:t>.</w:t>
      </w:r>
    </w:p>
    <w:p w14:paraId="2E4D93CB" w14:textId="77777777" w:rsidR="00027BA5" w:rsidRDefault="00027BA5" w:rsidP="0099066B">
      <w:pPr>
        <w:spacing w:after="0"/>
        <w:jc w:val="both"/>
        <w:rPr>
          <w:rFonts w:cstheme="minorHAnsi"/>
        </w:rPr>
      </w:pPr>
    </w:p>
    <w:p w14:paraId="712B90B6" w14:textId="5E03E2C3" w:rsidR="00027BA5" w:rsidRDefault="00027BA5" w:rsidP="0099066B">
      <w:pPr>
        <w:spacing w:after="0"/>
        <w:jc w:val="both"/>
        <w:rPr>
          <w:rFonts w:cstheme="minorHAnsi"/>
        </w:rPr>
      </w:pPr>
      <w:r>
        <w:rPr>
          <w:rFonts w:cstheme="minorHAnsi"/>
        </w:rPr>
        <w:t xml:space="preserve">At </w:t>
      </w:r>
      <w:r w:rsidR="002037C6">
        <w:rPr>
          <w:rFonts w:cstheme="minorHAnsi"/>
        </w:rPr>
        <w:t>local</w:t>
      </w:r>
      <w:r w:rsidR="001A4D67">
        <w:rPr>
          <w:rFonts w:cstheme="minorHAnsi"/>
        </w:rPr>
        <w:t xml:space="preserve"> </w:t>
      </w:r>
      <w:r>
        <w:rPr>
          <w:rFonts w:cstheme="minorHAnsi"/>
        </w:rPr>
        <w:t xml:space="preserve">level, a </w:t>
      </w:r>
      <w:r w:rsidR="00DB69B4">
        <w:rPr>
          <w:rFonts w:cstheme="minorHAnsi"/>
        </w:rPr>
        <w:t>local</w:t>
      </w:r>
      <w:r>
        <w:rPr>
          <w:rFonts w:cstheme="minorHAnsi"/>
        </w:rPr>
        <w:t xml:space="preserve"> Steering Committee manages the allocation</w:t>
      </w:r>
      <w:r w:rsidR="002037C6">
        <w:rPr>
          <w:rFonts w:cstheme="minorHAnsi"/>
        </w:rPr>
        <w:t>s</w:t>
      </w:r>
      <w:r>
        <w:rPr>
          <w:rFonts w:cstheme="minorHAnsi"/>
        </w:rPr>
        <w:t xml:space="preserve"> and decides on the project</w:t>
      </w:r>
      <w:r w:rsidR="00765A30">
        <w:rPr>
          <w:rFonts w:cstheme="minorHAnsi"/>
        </w:rPr>
        <w:t>s</w:t>
      </w:r>
      <w:r>
        <w:rPr>
          <w:rFonts w:cstheme="minorHAnsi"/>
        </w:rPr>
        <w:t xml:space="preserve"> to be funded by the </w:t>
      </w:r>
      <w:r w:rsidR="00EF2EB7">
        <w:rPr>
          <w:rFonts w:cstheme="minorHAnsi"/>
        </w:rPr>
        <w:t>WPHF</w:t>
      </w:r>
      <w:r>
        <w:rPr>
          <w:rFonts w:cstheme="minorHAnsi"/>
        </w:rPr>
        <w:t>. In</w:t>
      </w:r>
      <w:r w:rsidR="00DB69B4">
        <w:rPr>
          <w:rFonts w:cstheme="minorHAnsi"/>
        </w:rPr>
        <w:t xml:space="preserve"> the Pacific</w:t>
      </w:r>
      <w:r w:rsidR="002037C6">
        <w:rPr>
          <w:rFonts w:cstheme="minorHAnsi"/>
        </w:rPr>
        <w:t xml:space="preserve"> (</w:t>
      </w:r>
      <w:r w:rsidR="00B4118D">
        <w:rPr>
          <w:rFonts w:cstheme="minorHAnsi"/>
        </w:rPr>
        <w:t>excluding PNG</w:t>
      </w:r>
      <w:r w:rsidR="002037C6">
        <w:rPr>
          <w:rFonts w:cstheme="minorHAnsi"/>
        </w:rPr>
        <w:t>)</w:t>
      </w:r>
      <w:r>
        <w:rPr>
          <w:rFonts w:cstheme="minorHAnsi"/>
        </w:rPr>
        <w:t xml:space="preserve">, the Steering Committee is composed of: </w:t>
      </w:r>
      <w:r w:rsidR="00DB69B4">
        <w:rPr>
          <w:rFonts w:cstheme="minorHAnsi"/>
        </w:rPr>
        <w:t>UN Women, UNDP, UNFPA, OCHA, DFAT, PIFS, Femlink Pacific and the IFRC.</w:t>
      </w:r>
    </w:p>
    <w:p w14:paraId="2F5B7846" w14:textId="77777777" w:rsidR="001253D5" w:rsidRDefault="001253D5" w:rsidP="0099066B">
      <w:pPr>
        <w:spacing w:after="0"/>
        <w:jc w:val="both"/>
        <w:rPr>
          <w:rFonts w:cstheme="minorHAnsi"/>
        </w:rPr>
      </w:pPr>
    </w:p>
    <w:p w14:paraId="6321ED78" w14:textId="07E1BFC7" w:rsidR="001253D5" w:rsidRDefault="001253D5" w:rsidP="0099066B">
      <w:pPr>
        <w:spacing w:after="0"/>
        <w:jc w:val="both"/>
        <w:rPr>
          <w:rFonts w:cstheme="minorHAnsi"/>
        </w:rPr>
      </w:pPr>
      <w:r>
        <w:rPr>
          <w:rFonts w:cstheme="minorHAnsi"/>
        </w:rPr>
        <w:t xml:space="preserve">UN Women acts as the </w:t>
      </w:r>
      <w:r w:rsidR="00EF2EB7">
        <w:rPr>
          <w:rFonts w:cstheme="minorHAnsi"/>
        </w:rPr>
        <w:t xml:space="preserve">WPHF’s </w:t>
      </w:r>
      <w:r>
        <w:rPr>
          <w:rFonts w:cstheme="minorHAnsi"/>
        </w:rPr>
        <w:t xml:space="preserve">Technical Secretariat at the global level. </w:t>
      </w:r>
      <w:r w:rsidR="0024403A">
        <w:rPr>
          <w:rFonts w:cstheme="minorHAnsi"/>
        </w:rPr>
        <w:t xml:space="preserve">UN Women also acts as the Secretariat for the </w:t>
      </w:r>
      <w:r w:rsidR="00EF2EB7">
        <w:rPr>
          <w:rFonts w:cstheme="minorHAnsi"/>
        </w:rPr>
        <w:t xml:space="preserve">WPHF’s </w:t>
      </w:r>
      <w:r w:rsidR="00B4118D">
        <w:rPr>
          <w:rFonts w:cstheme="minorHAnsi"/>
        </w:rPr>
        <w:t>local</w:t>
      </w:r>
      <w:r w:rsidR="0024403A">
        <w:rPr>
          <w:rFonts w:cstheme="minorHAnsi"/>
        </w:rPr>
        <w:t xml:space="preserve"> Steering Committee </w:t>
      </w:r>
      <w:r w:rsidR="00B4118D">
        <w:rPr>
          <w:rFonts w:cstheme="minorHAnsi"/>
        </w:rPr>
        <w:t>in the Pacific</w:t>
      </w:r>
      <w:r w:rsidR="0024403A">
        <w:rPr>
          <w:rFonts w:cstheme="minorHAnsi"/>
        </w:rPr>
        <w:t>.</w:t>
      </w:r>
    </w:p>
    <w:p w14:paraId="279FFED8" w14:textId="77777777" w:rsidR="00765A30" w:rsidRDefault="00765A30" w:rsidP="0099066B">
      <w:pPr>
        <w:spacing w:after="0"/>
        <w:jc w:val="both"/>
        <w:rPr>
          <w:rFonts w:cstheme="minorHAnsi"/>
        </w:rPr>
      </w:pPr>
    </w:p>
    <w:p w14:paraId="40006DAD" w14:textId="77777777" w:rsidR="0099066B" w:rsidRDefault="0099066B" w:rsidP="0099066B">
      <w:pPr>
        <w:spacing w:after="0"/>
        <w:jc w:val="both"/>
        <w:rPr>
          <w:rFonts w:cstheme="minorHAnsi"/>
        </w:rPr>
      </w:pPr>
    </w:p>
    <w:p w14:paraId="6B7C4B14" w14:textId="77777777" w:rsidR="001A4D67" w:rsidRDefault="001A4D67" w:rsidP="0099066B">
      <w:pPr>
        <w:spacing w:after="0"/>
        <w:jc w:val="both"/>
        <w:rPr>
          <w:rFonts w:cstheme="minorHAnsi"/>
        </w:rPr>
      </w:pPr>
    </w:p>
    <w:p w14:paraId="1A59382D" w14:textId="77777777" w:rsidR="001A4D67" w:rsidRDefault="001A4D67" w:rsidP="0099066B">
      <w:pPr>
        <w:spacing w:after="0"/>
        <w:jc w:val="both"/>
        <w:rPr>
          <w:rFonts w:cstheme="minorHAnsi"/>
        </w:rPr>
      </w:pPr>
    </w:p>
    <w:p w14:paraId="6BCCDE34" w14:textId="77777777" w:rsidR="001A4D67" w:rsidRDefault="001A4D67" w:rsidP="0099066B">
      <w:pPr>
        <w:spacing w:after="0"/>
        <w:jc w:val="both"/>
        <w:rPr>
          <w:rFonts w:cstheme="minorHAnsi"/>
        </w:rPr>
      </w:pPr>
    </w:p>
    <w:p w14:paraId="2D755226" w14:textId="77777777" w:rsidR="001A4D67" w:rsidRDefault="001A4D67" w:rsidP="0099066B">
      <w:pPr>
        <w:spacing w:after="0"/>
        <w:jc w:val="both"/>
        <w:rPr>
          <w:rFonts w:cstheme="minorHAnsi"/>
        </w:rPr>
      </w:pPr>
    </w:p>
    <w:p w14:paraId="08DD4CF5" w14:textId="77777777" w:rsidR="001A4D67" w:rsidRDefault="001A4D67" w:rsidP="0099066B">
      <w:pPr>
        <w:spacing w:after="0"/>
        <w:jc w:val="both"/>
        <w:rPr>
          <w:rFonts w:cstheme="minorHAnsi"/>
        </w:rPr>
      </w:pPr>
    </w:p>
    <w:p w14:paraId="2CDDFB9E" w14:textId="77777777" w:rsidR="001A4D67" w:rsidRDefault="001A4D67" w:rsidP="0099066B">
      <w:pPr>
        <w:spacing w:after="0"/>
        <w:jc w:val="both"/>
        <w:rPr>
          <w:rFonts w:cstheme="minorHAnsi"/>
        </w:rPr>
      </w:pPr>
    </w:p>
    <w:p w14:paraId="5B0AA11B" w14:textId="77777777" w:rsidR="001A4D67" w:rsidRDefault="001A4D67" w:rsidP="0099066B">
      <w:pPr>
        <w:spacing w:after="0"/>
        <w:jc w:val="both"/>
        <w:rPr>
          <w:rFonts w:cstheme="minorHAnsi"/>
        </w:rPr>
      </w:pPr>
    </w:p>
    <w:p w14:paraId="41D3784D" w14:textId="77777777" w:rsidR="001A4D67" w:rsidRDefault="001A4D67" w:rsidP="0099066B">
      <w:pPr>
        <w:spacing w:after="0"/>
        <w:jc w:val="both"/>
        <w:rPr>
          <w:rFonts w:cstheme="minorHAnsi"/>
        </w:rPr>
      </w:pPr>
    </w:p>
    <w:p w14:paraId="68BB0699" w14:textId="77777777" w:rsidR="001A4D67" w:rsidRDefault="001A4D67" w:rsidP="0099066B">
      <w:pPr>
        <w:spacing w:after="0"/>
        <w:jc w:val="both"/>
        <w:rPr>
          <w:rFonts w:cstheme="minorHAnsi"/>
        </w:rPr>
      </w:pPr>
    </w:p>
    <w:p w14:paraId="69F9199C" w14:textId="77777777" w:rsidR="0099066B" w:rsidRDefault="0099066B" w:rsidP="0099066B">
      <w:pPr>
        <w:spacing w:after="0"/>
        <w:jc w:val="both"/>
        <w:rPr>
          <w:rFonts w:cstheme="minorHAnsi"/>
        </w:rPr>
      </w:pPr>
    </w:p>
    <w:p w14:paraId="14586372" w14:textId="77777777" w:rsidR="00765A30" w:rsidRDefault="00765A30" w:rsidP="00BD0265">
      <w:pPr>
        <w:spacing w:after="0"/>
        <w:rPr>
          <w:rFonts w:cstheme="minorHAnsi"/>
        </w:rPr>
      </w:pPr>
    </w:p>
    <w:p w14:paraId="1DEBC3DD" w14:textId="7A86FB7F" w:rsidR="00765A30" w:rsidRDefault="00765A30" w:rsidP="00765A30">
      <w:pPr>
        <w:pStyle w:val="ListParagraph"/>
        <w:numPr>
          <w:ilvl w:val="0"/>
          <w:numId w:val="1"/>
        </w:numPr>
        <w:spacing w:after="0"/>
        <w:rPr>
          <w:b/>
        </w:rPr>
      </w:pPr>
      <w:r>
        <w:rPr>
          <w:b/>
        </w:rPr>
        <w:t xml:space="preserve">The </w:t>
      </w:r>
      <w:r w:rsidR="00EF2EB7">
        <w:rPr>
          <w:b/>
        </w:rPr>
        <w:t xml:space="preserve">WPHF’s </w:t>
      </w:r>
      <w:r>
        <w:rPr>
          <w:b/>
        </w:rPr>
        <w:t>project approbation cycle</w:t>
      </w:r>
    </w:p>
    <w:p w14:paraId="78C5B8A4" w14:textId="77777777" w:rsidR="00765A30" w:rsidRDefault="00765A30" w:rsidP="00BD0265">
      <w:pPr>
        <w:spacing w:after="0"/>
        <w:rPr>
          <w:rFonts w:cstheme="minorHAnsi"/>
        </w:rPr>
      </w:pPr>
    </w:p>
    <w:p w14:paraId="54497718" w14:textId="77777777" w:rsidR="00765A30" w:rsidRDefault="00765A30" w:rsidP="00BD0265">
      <w:pPr>
        <w:spacing w:after="0"/>
        <w:rPr>
          <w:rFonts w:cstheme="minorHAnsi"/>
        </w:rPr>
      </w:pPr>
      <w:r>
        <w:rPr>
          <w:noProof/>
          <w:lang w:val="en-NZ" w:eastAsia="en-NZ"/>
        </w:rPr>
        <w:drawing>
          <wp:inline distT="0" distB="0" distL="0" distR="0" wp14:anchorId="2E758A45" wp14:editId="6E464245">
            <wp:extent cx="6336030" cy="489598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lizabeth.cafferty.UNWOMEN\AppData\Local\Microsoft\Windows\Temporary Internet Files\Content.Word\Project Approbation Cycle Flow Chart Aug 25.jpg"/>
                    <pic:cNvPicPr>
                      <a:picLocks noChangeAspect="1" noChangeArrowheads="1"/>
                    </pic:cNvPicPr>
                  </pic:nvPicPr>
                  <pic:blipFill>
                    <a:blip r:embed="rId8"/>
                    <a:stretch>
                      <a:fillRect/>
                    </a:stretch>
                  </pic:blipFill>
                  <pic:spPr bwMode="auto">
                    <a:xfrm>
                      <a:off x="0" y="0"/>
                      <a:ext cx="6336030" cy="4895980"/>
                    </a:xfrm>
                    <a:prstGeom prst="rect">
                      <a:avLst/>
                    </a:prstGeom>
                    <a:noFill/>
                    <a:ln>
                      <a:noFill/>
                    </a:ln>
                  </pic:spPr>
                </pic:pic>
              </a:graphicData>
            </a:graphic>
          </wp:inline>
        </w:drawing>
      </w:r>
    </w:p>
    <w:p w14:paraId="216AB5F4" w14:textId="77777777" w:rsidR="00081D3D" w:rsidRPr="00081D3D" w:rsidRDefault="00081D3D" w:rsidP="000B7AA6">
      <w:pPr>
        <w:pStyle w:val="ListParagraph"/>
        <w:spacing w:after="0"/>
      </w:pPr>
    </w:p>
    <w:p w14:paraId="15D30A24" w14:textId="276B3EE9" w:rsidR="00E73428" w:rsidRDefault="00E73428" w:rsidP="00765A30">
      <w:pPr>
        <w:pStyle w:val="ListParagraph"/>
        <w:numPr>
          <w:ilvl w:val="0"/>
          <w:numId w:val="1"/>
        </w:numPr>
        <w:spacing w:after="0"/>
        <w:rPr>
          <w:b/>
        </w:rPr>
      </w:pPr>
      <w:r>
        <w:rPr>
          <w:b/>
        </w:rPr>
        <w:t xml:space="preserve">The </w:t>
      </w:r>
      <w:r w:rsidR="00EF2EB7">
        <w:rPr>
          <w:b/>
        </w:rPr>
        <w:t xml:space="preserve">2017 </w:t>
      </w:r>
      <w:r>
        <w:rPr>
          <w:b/>
        </w:rPr>
        <w:t>Call for Proposals</w:t>
      </w:r>
    </w:p>
    <w:p w14:paraId="5C38B8E7" w14:textId="77777777" w:rsidR="00125E43" w:rsidRDefault="00125E43" w:rsidP="000B7AA6">
      <w:pPr>
        <w:pStyle w:val="ListParagraph"/>
        <w:spacing w:after="0"/>
        <w:rPr>
          <w:b/>
        </w:rPr>
      </w:pPr>
    </w:p>
    <w:p w14:paraId="071A6E1B" w14:textId="33EB593C" w:rsidR="00BB509D" w:rsidRDefault="00BB509D" w:rsidP="000B7AA6">
      <w:pPr>
        <w:spacing w:after="0"/>
      </w:pPr>
      <w:r>
        <w:t xml:space="preserve">With </w:t>
      </w:r>
      <w:r w:rsidR="00EF2EB7">
        <w:t>this 2</w:t>
      </w:r>
      <w:r w:rsidR="00EF2EB7" w:rsidRPr="008C1BF2">
        <w:rPr>
          <w:vertAlign w:val="superscript"/>
        </w:rPr>
        <w:t>nd</w:t>
      </w:r>
      <w:r w:rsidR="00EF2EB7">
        <w:t xml:space="preserve"> funding</w:t>
      </w:r>
      <w:r>
        <w:t xml:space="preserve"> cycle, the </w:t>
      </w:r>
      <w:r w:rsidR="00EF2EB7">
        <w:t>WPHF</w:t>
      </w:r>
      <w:r>
        <w:t xml:space="preserve"> will fund </w:t>
      </w:r>
      <w:r w:rsidR="00555CF0">
        <w:t>qualifying projects</w:t>
      </w:r>
      <w:r w:rsidR="00D336C3">
        <w:t xml:space="preserve"> in </w:t>
      </w:r>
      <w:r w:rsidR="00DB69B4">
        <w:t xml:space="preserve">the Solomon Islands and the Pacific </w:t>
      </w:r>
      <w:r w:rsidR="002037C6">
        <w:t xml:space="preserve">(Cook Islands, Fiji, FSM, Kiribati, Nauru, Niue, Palau, RMI, Samoa, Tokelau, Tonga, Tuvalu, Vanuatu) </w:t>
      </w:r>
      <w:r w:rsidR="00D336C3">
        <w:t>that contribute to one of the following Outcomes</w:t>
      </w:r>
    </w:p>
    <w:p w14:paraId="1BFEC2C6" w14:textId="77777777" w:rsidR="00D336C3" w:rsidRDefault="00D336C3" w:rsidP="000B7AA6">
      <w:pPr>
        <w:spacing w:after="0"/>
      </w:pPr>
    </w:p>
    <w:p w14:paraId="1782EBEA" w14:textId="77777777" w:rsidR="002037C6" w:rsidRPr="002037C6" w:rsidRDefault="002037C6" w:rsidP="00424263">
      <w:pPr>
        <w:pStyle w:val="ListParagraph"/>
        <w:numPr>
          <w:ilvl w:val="0"/>
          <w:numId w:val="16"/>
        </w:numPr>
        <w:spacing w:after="0"/>
      </w:pPr>
      <w:r w:rsidRPr="002037C6">
        <w:rPr>
          <w:b/>
        </w:rPr>
        <w:t>Outcome 3: Humanitarian/crisis response planning, frameworks and programming which is informed by gender analysis and needs assessments</w:t>
      </w:r>
      <w:r w:rsidRPr="002037C6">
        <w:t xml:space="preserve"> </w:t>
      </w:r>
    </w:p>
    <w:p w14:paraId="14A13C83" w14:textId="77777777" w:rsidR="00D336C3" w:rsidRPr="002037C6" w:rsidRDefault="002037C6" w:rsidP="00424263">
      <w:pPr>
        <w:pStyle w:val="ListParagraph"/>
        <w:numPr>
          <w:ilvl w:val="0"/>
          <w:numId w:val="16"/>
        </w:numPr>
        <w:spacing w:after="0"/>
      </w:pPr>
      <w:r>
        <w:rPr>
          <w:b/>
        </w:rPr>
        <w:t>Outcome 5</w:t>
      </w:r>
      <w:r w:rsidRPr="002037C6">
        <w:rPr>
          <w:b/>
        </w:rPr>
        <w:t>: Protection</w:t>
      </w:r>
    </w:p>
    <w:p w14:paraId="089B3287" w14:textId="77777777" w:rsidR="00C674DE" w:rsidRPr="002037C6" w:rsidRDefault="00C674DE" w:rsidP="000B7AA6">
      <w:pPr>
        <w:spacing w:after="0"/>
      </w:pPr>
    </w:p>
    <w:p w14:paraId="44EE1CB7" w14:textId="66CB19FA" w:rsidR="00C36E67" w:rsidRPr="00F014BA" w:rsidRDefault="00C36E67" w:rsidP="000B7AA6">
      <w:pPr>
        <w:pStyle w:val="ListParagraph"/>
        <w:numPr>
          <w:ilvl w:val="0"/>
          <w:numId w:val="2"/>
        </w:numPr>
        <w:spacing w:after="0"/>
      </w:pPr>
      <w:r w:rsidRPr="00F014BA">
        <w:t xml:space="preserve">The </w:t>
      </w:r>
      <w:r w:rsidR="00EF2EB7" w:rsidRPr="00F014BA">
        <w:t xml:space="preserve">WPHF </w:t>
      </w:r>
      <w:r w:rsidRPr="00F014BA">
        <w:t xml:space="preserve">will grant </w:t>
      </w:r>
      <w:r w:rsidR="009225E3" w:rsidRPr="00F014BA">
        <w:t>up to 1</w:t>
      </w:r>
      <w:r w:rsidRPr="00F014BA">
        <w:t xml:space="preserve"> million USD over two years to </w:t>
      </w:r>
      <w:r w:rsidR="002037C6" w:rsidRPr="00F014BA">
        <w:t>the Solomon Islands and the Pacific</w:t>
      </w:r>
      <w:r w:rsidRPr="00F014BA">
        <w:t xml:space="preserve">. Project proposals should be for no less than 100,000 USD and no more than </w:t>
      </w:r>
      <w:r w:rsidR="00F014BA" w:rsidRPr="00F014BA">
        <w:t>300,000 USD</w:t>
      </w:r>
      <w:r w:rsidRPr="00F014BA">
        <w:t>.</w:t>
      </w:r>
    </w:p>
    <w:p w14:paraId="7DD070BE" w14:textId="77777777" w:rsidR="002D49A4" w:rsidRDefault="002D49A4" w:rsidP="000B7AA6">
      <w:pPr>
        <w:pStyle w:val="ListParagraph"/>
        <w:numPr>
          <w:ilvl w:val="0"/>
          <w:numId w:val="2"/>
        </w:numPr>
        <w:spacing w:after="0"/>
      </w:pPr>
      <w:r w:rsidRPr="00F014BA">
        <w:t>The maximum project duration</w:t>
      </w:r>
      <w:r>
        <w:t xml:space="preserve"> is </w:t>
      </w:r>
      <w:r w:rsidR="009225E3">
        <w:t xml:space="preserve">2 </w:t>
      </w:r>
      <w:r>
        <w:t>years.</w:t>
      </w:r>
    </w:p>
    <w:p w14:paraId="03EED62A" w14:textId="33B998E9" w:rsidR="0099066B" w:rsidRDefault="0099066B" w:rsidP="000B7AA6">
      <w:pPr>
        <w:spacing w:after="0"/>
      </w:pPr>
    </w:p>
    <w:p w14:paraId="7C9AC63F" w14:textId="77777777" w:rsidR="0099066B" w:rsidRPr="00BB509D" w:rsidRDefault="0099066B" w:rsidP="000B7AA6">
      <w:pPr>
        <w:spacing w:after="0"/>
      </w:pPr>
    </w:p>
    <w:p w14:paraId="58B4598B" w14:textId="77777777" w:rsidR="0029003E" w:rsidRDefault="00E73428" w:rsidP="00765A30">
      <w:pPr>
        <w:pStyle w:val="ListParagraph"/>
        <w:numPr>
          <w:ilvl w:val="0"/>
          <w:numId w:val="1"/>
        </w:numPr>
        <w:spacing w:after="0"/>
        <w:rPr>
          <w:b/>
        </w:rPr>
      </w:pPr>
      <w:r>
        <w:rPr>
          <w:b/>
        </w:rPr>
        <w:t>Application and Selection Process</w:t>
      </w:r>
    </w:p>
    <w:p w14:paraId="19DC10AD" w14:textId="77777777" w:rsidR="0096042C" w:rsidRDefault="0096042C" w:rsidP="000B7AA6">
      <w:pPr>
        <w:spacing w:after="0"/>
        <w:ind w:left="360"/>
        <w:rPr>
          <w:b/>
        </w:rPr>
      </w:pPr>
    </w:p>
    <w:p w14:paraId="2A7874E5" w14:textId="77777777" w:rsidR="009225E3" w:rsidRDefault="00655B08" w:rsidP="000B7AA6">
      <w:pPr>
        <w:spacing w:after="0"/>
        <w:ind w:left="360"/>
        <w:rPr>
          <w:b/>
        </w:rPr>
      </w:pPr>
      <w:r>
        <w:rPr>
          <w:b/>
        </w:rPr>
        <w:t>Who is eligible to receive funding?</w:t>
      </w:r>
    </w:p>
    <w:p w14:paraId="6A2949EF" w14:textId="77777777" w:rsidR="00647094" w:rsidRDefault="00647094" w:rsidP="000B7AA6">
      <w:pPr>
        <w:spacing w:after="0"/>
        <w:ind w:left="360"/>
        <w:rPr>
          <w:b/>
        </w:rPr>
      </w:pPr>
    </w:p>
    <w:p w14:paraId="4D06405F" w14:textId="77777777" w:rsidR="009225E3" w:rsidRDefault="009225E3" w:rsidP="000B7AA6">
      <w:pPr>
        <w:spacing w:after="0"/>
        <w:ind w:left="360"/>
        <w:rPr>
          <w:b/>
        </w:rPr>
      </w:pPr>
      <w:r w:rsidRPr="002037C6">
        <w:rPr>
          <w:b/>
        </w:rPr>
        <w:t>In PBF Countries (</w:t>
      </w:r>
      <w:r w:rsidR="00647094" w:rsidRPr="002037C6">
        <w:rPr>
          <w:b/>
        </w:rPr>
        <w:t xml:space="preserve">For this call: </w:t>
      </w:r>
      <w:r w:rsidRPr="002037C6">
        <w:rPr>
          <w:b/>
        </w:rPr>
        <w:t>Burundi, Colombia and Solomon Islands and the Pacific)</w:t>
      </w:r>
      <w:r w:rsidR="009C018C">
        <w:rPr>
          <w:b/>
        </w:rPr>
        <w:t xml:space="preserve">  </w:t>
      </w:r>
    </w:p>
    <w:p w14:paraId="03E06198" w14:textId="77777777" w:rsidR="00647094" w:rsidRDefault="00647094" w:rsidP="000B7AA6">
      <w:pPr>
        <w:spacing w:after="0"/>
        <w:ind w:left="360"/>
        <w:rPr>
          <w:b/>
        </w:rPr>
      </w:pPr>
    </w:p>
    <w:p w14:paraId="520CB8F8" w14:textId="18B07B17" w:rsidR="009C018C" w:rsidRDefault="009C018C" w:rsidP="000B7AA6">
      <w:pPr>
        <w:spacing w:after="0"/>
        <w:ind w:left="360"/>
        <w:rPr>
          <w:b/>
        </w:rPr>
      </w:pPr>
      <w:r>
        <w:rPr>
          <w:b/>
        </w:rPr>
        <w:t xml:space="preserve">The </w:t>
      </w:r>
      <w:r w:rsidR="00EF2EB7">
        <w:rPr>
          <w:b/>
        </w:rPr>
        <w:t xml:space="preserve">WPHF </w:t>
      </w:r>
      <w:r>
        <w:rPr>
          <w:b/>
        </w:rPr>
        <w:t>funds are intended for the benefit of civil society organizations.</w:t>
      </w:r>
    </w:p>
    <w:p w14:paraId="4D20D723" w14:textId="77777777" w:rsidR="009C018C" w:rsidRDefault="009C018C" w:rsidP="000B7AA6">
      <w:pPr>
        <w:spacing w:after="0"/>
        <w:ind w:left="360"/>
        <w:rPr>
          <w:b/>
        </w:rPr>
      </w:pPr>
    </w:p>
    <w:p w14:paraId="7FEA39C5" w14:textId="77777777" w:rsidR="00647094" w:rsidRDefault="00C674DE" w:rsidP="00424263">
      <w:pPr>
        <w:pStyle w:val="ListParagraph"/>
        <w:numPr>
          <w:ilvl w:val="0"/>
          <w:numId w:val="18"/>
        </w:numPr>
        <w:spacing w:after="0"/>
      </w:pPr>
      <w:r>
        <w:t>National and l</w:t>
      </w:r>
      <w:r w:rsidR="00655B08">
        <w:t xml:space="preserve">ocal </w:t>
      </w:r>
      <w:r w:rsidR="00566F4B">
        <w:t>c</w:t>
      </w:r>
      <w:r w:rsidR="00655B08">
        <w:t>ivil</w:t>
      </w:r>
      <w:r w:rsidR="00566F4B">
        <w:t xml:space="preserve"> society o</w:t>
      </w:r>
      <w:r w:rsidR="00655B08">
        <w:t>rganizations</w:t>
      </w:r>
      <w:r w:rsidR="00566F4B">
        <w:t xml:space="preserve"> </w:t>
      </w:r>
      <w:r w:rsidR="00655B08">
        <w:t>are eligible to apply</w:t>
      </w:r>
      <w:r w:rsidR="009225E3">
        <w:t>. W</w:t>
      </w:r>
      <w:r w:rsidR="00655B08">
        <w:t>omen’s grassroots</w:t>
      </w:r>
      <w:r w:rsidR="009225E3">
        <w:t>/local/community based</w:t>
      </w:r>
      <w:r w:rsidR="00655B08">
        <w:t xml:space="preserve"> organizations are particularly encouraged to apply</w:t>
      </w:r>
      <w:r w:rsidR="00027BA5">
        <w:t>.</w:t>
      </w:r>
      <w:r w:rsidR="00647094">
        <w:t xml:space="preserve"> Joint CSOs projects are</w:t>
      </w:r>
      <w:r w:rsidR="009C018C">
        <w:t xml:space="preserve"> allowed and</w:t>
      </w:r>
      <w:r w:rsidR="00647094">
        <w:t xml:space="preserve"> encouraged.</w:t>
      </w:r>
    </w:p>
    <w:p w14:paraId="57B73586" w14:textId="77777777" w:rsidR="00647094" w:rsidRDefault="00647094" w:rsidP="00424263">
      <w:pPr>
        <w:pStyle w:val="ListParagraph"/>
        <w:spacing w:after="0"/>
      </w:pPr>
    </w:p>
    <w:p w14:paraId="2A8D325E" w14:textId="77777777" w:rsidR="00655B08" w:rsidRDefault="00647094" w:rsidP="00424263">
      <w:pPr>
        <w:pStyle w:val="ListParagraph"/>
        <w:numPr>
          <w:ilvl w:val="0"/>
          <w:numId w:val="18"/>
        </w:numPr>
        <w:spacing w:after="0"/>
      </w:pPr>
      <w:r>
        <w:t xml:space="preserve">Governmental entities may </w:t>
      </w:r>
      <w:r w:rsidR="009C018C">
        <w:t xml:space="preserve">also submit projects </w:t>
      </w:r>
      <w:r w:rsidR="00801418">
        <w:t>when the Government’s role in facilitating</w:t>
      </w:r>
      <w:r w:rsidR="009C018C">
        <w:t xml:space="preserve"> partnerships </w:t>
      </w:r>
      <w:r w:rsidR="00801418">
        <w:t>with</w:t>
      </w:r>
      <w:r w:rsidR="009C018C">
        <w:t xml:space="preserve"> CSOs </w:t>
      </w:r>
      <w:r w:rsidR="00801418">
        <w:t>is needed</w:t>
      </w:r>
      <w:r w:rsidR="009C018C">
        <w:t xml:space="preserve">. </w:t>
      </w:r>
    </w:p>
    <w:p w14:paraId="05D20E14" w14:textId="77777777" w:rsidR="00647094" w:rsidRDefault="00647094" w:rsidP="00424263">
      <w:pPr>
        <w:spacing w:after="0"/>
        <w:ind w:firstLine="360"/>
      </w:pPr>
    </w:p>
    <w:p w14:paraId="6672C525" w14:textId="77777777" w:rsidR="00957B35" w:rsidRPr="00957B35" w:rsidRDefault="00957B35" w:rsidP="00424263">
      <w:pPr>
        <w:spacing w:after="0"/>
        <w:ind w:firstLine="360"/>
      </w:pPr>
    </w:p>
    <w:p w14:paraId="5C01F8E7" w14:textId="77777777" w:rsidR="0001380B" w:rsidRDefault="0001380B" w:rsidP="002037C6">
      <w:pPr>
        <w:spacing w:after="0"/>
      </w:pPr>
      <w:r w:rsidRPr="0001380B">
        <w:rPr>
          <w:b/>
        </w:rPr>
        <w:t>Do I need to be a legally registered entity/organization to apply?</w:t>
      </w:r>
      <w:r>
        <w:t xml:space="preserve"> </w:t>
      </w:r>
      <w:r>
        <w:br/>
        <w:t xml:space="preserve">Yes. The Applicant Organizations must have legal status with the competent national authority (of an eligible country). A proof of legal registration (or legal status) are a required attachment for any grant application. Applications without clear proof of legal status will be considered incomplete and will be withdrawn from the application process. Note that articles of incorporation are not proof of </w:t>
      </w:r>
      <w:r w:rsidR="00B130D5">
        <w:t xml:space="preserve">legal status. </w:t>
      </w:r>
    </w:p>
    <w:p w14:paraId="52B6954D" w14:textId="77777777" w:rsidR="000565CF" w:rsidRDefault="000565CF" w:rsidP="000B7AA6">
      <w:pPr>
        <w:spacing w:after="0"/>
        <w:ind w:left="360"/>
      </w:pPr>
    </w:p>
    <w:p w14:paraId="418A8D94" w14:textId="77777777" w:rsidR="006971A0" w:rsidRDefault="006971A0" w:rsidP="000B7AA6">
      <w:pPr>
        <w:spacing w:after="0"/>
        <w:ind w:left="360"/>
      </w:pPr>
      <w:r>
        <w:rPr>
          <w:b/>
        </w:rPr>
        <w:t>May I submit more than one application?</w:t>
      </w:r>
      <w:r>
        <w:rPr>
          <w:b/>
        </w:rPr>
        <w:br/>
      </w:r>
      <w:r w:rsidR="00CA4C32">
        <w:t>No, organizations may not submit more than one application.</w:t>
      </w:r>
    </w:p>
    <w:p w14:paraId="7B66421A" w14:textId="77777777" w:rsidR="000565CF" w:rsidRPr="006971A0" w:rsidRDefault="000565CF" w:rsidP="000B7AA6">
      <w:pPr>
        <w:spacing w:after="0"/>
        <w:ind w:left="360"/>
        <w:rPr>
          <w:b/>
        </w:rPr>
      </w:pPr>
    </w:p>
    <w:p w14:paraId="1D02C965" w14:textId="77777777" w:rsidR="00801461" w:rsidRDefault="00801461" w:rsidP="000B7AA6">
      <w:pPr>
        <w:spacing w:after="0"/>
        <w:ind w:left="360"/>
      </w:pPr>
      <w:r>
        <w:rPr>
          <w:b/>
        </w:rPr>
        <w:t>Can more organizations apply jointly?</w:t>
      </w:r>
      <w:r>
        <w:br/>
        <w:t xml:space="preserve">Yes, joint projects are encouraged. </w:t>
      </w:r>
      <w:r w:rsidR="001C73D0">
        <w:t>For CSOs joint projects, only the lead organization is required to meet the eligibility criteria</w:t>
      </w:r>
      <w:r w:rsidR="0048590B">
        <w:t xml:space="preserve">. </w:t>
      </w:r>
      <w:r w:rsidR="00E632C4">
        <w:t xml:space="preserve">The roles and responsibilities of each organization must be clearly detailed within the application. Proposals must clearly indicate which organization will take lead responsibility for project management and contractual obligations. </w:t>
      </w:r>
    </w:p>
    <w:p w14:paraId="0EF4FB8A" w14:textId="77777777" w:rsidR="0099066B" w:rsidRDefault="0099066B" w:rsidP="000B7AA6">
      <w:pPr>
        <w:spacing w:after="0"/>
        <w:ind w:left="360"/>
      </w:pPr>
    </w:p>
    <w:p w14:paraId="67629A6C" w14:textId="77777777" w:rsidR="00E17B9B" w:rsidRPr="00E17B9B" w:rsidRDefault="00E17B9B" w:rsidP="000B7AA6">
      <w:pPr>
        <w:spacing w:after="0"/>
        <w:ind w:left="360"/>
        <w:rPr>
          <w:b/>
        </w:rPr>
      </w:pPr>
      <w:r w:rsidRPr="00E17B9B">
        <w:rPr>
          <w:b/>
        </w:rPr>
        <w:t>May I apply for funding for an ongoing initiative or project?</w:t>
      </w:r>
    </w:p>
    <w:p w14:paraId="4CCB1167" w14:textId="456EF114" w:rsidR="00E17B9B" w:rsidRDefault="00E17B9B" w:rsidP="000B7AA6">
      <w:pPr>
        <w:spacing w:after="0"/>
        <w:ind w:left="360"/>
      </w:pPr>
      <w:r>
        <w:t xml:space="preserve">Yes, we will accept proposals for ongoing projects. </w:t>
      </w:r>
      <w:r w:rsidR="001A4D67">
        <w:t xml:space="preserve">However, the specific value added of the </w:t>
      </w:r>
      <w:r w:rsidR="00EF2EB7">
        <w:t xml:space="preserve">WPHF </w:t>
      </w:r>
      <w:r w:rsidR="001A4D67">
        <w:t>contribution should be clearly outlined.</w:t>
      </w:r>
    </w:p>
    <w:p w14:paraId="25677309" w14:textId="77777777" w:rsidR="00E17B9B" w:rsidRDefault="00E17B9B" w:rsidP="000B7AA6">
      <w:pPr>
        <w:spacing w:after="0"/>
        <w:ind w:left="360"/>
        <w:rPr>
          <w:b/>
        </w:rPr>
      </w:pPr>
    </w:p>
    <w:p w14:paraId="0CB4F936" w14:textId="77777777" w:rsidR="00501742" w:rsidRDefault="00501742" w:rsidP="000B7AA6">
      <w:pPr>
        <w:spacing w:after="0"/>
        <w:ind w:left="360"/>
      </w:pPr>
      <w:r>
        <w:rPr>
          <w:b/>
        </w:rPr>
        <w:t>Is there a recommended range for funding requests?</w:t>
      </w:r>
    </w:p>
    <w:p w14:paraId="15C95766" w14:textId="131E2538" w:rsidR="00501742" w:rsidRDefault="00501742" w:rsidP="000B7AA6">
      <w:pPr>
        <w:spacing w:after="0"/>
        <w:ind w:left="360"/>
      </w:pPr>
      <w:r>
        <w:t xml:space="preserve">Project proposals should be for no less than 100,000 USD and no more than </w:t>
      </w:r>
      <w:r w:rsidR="00F014BA">
        <w:t>300,000 USD.</w:t>
      </w:r>
    </w:p>
    <w:p w14:paraId="682AA22B" w14:textId="77777777" w:rsidR="00071653" w:rsidRDefault="00071653" w:rsidP="000B7AA6">
      <w:pPr>
        <w:spacing w:after="0"/>
        <w:ind w:left="360"/>
      </w:pPr>
    </w:p>
    <w:p w14:paraId="469C3BB7" w14:textId="77777777" w:rsidR="00120607" w:rsidRPr="00424263" w:rsidRDefault="00434F65" w:rsidP="000B7AA6">
      <w:pPr>
        <w:spacing w:after="0"/>
        <w:ind w:left="360"/>
        <w:rPr>
          <w:b/>
        </w:rPr>
      </w:pPr>
      <w:r w:rsidRPr="00424263">
        <w:rPr>
          <w:b/>
        </w:rPr>
        <w:t>What are the requirements for project design</w:t>
      </w:r>
      <w:r>
        <w:rPr>
          <w:b/>
        </w:rPr>
        <w:t>?</w:t>
      </w:r>
    </w:p>
    <w:p w14:paraId="72ABAB20" w14:textId="77777777" w:rsidR="00434F65" w:rsidRDefault="00434F65" w:rsidP="000B7AA6">
      <w:pPr>
        <w:spacing w:after="0"/>
        <w:ind w:left="360"/>
      </w:pPr>
    </w:p>
    <w:p w14:paraId="3ED0EE0D" w14:textId="4C23704B" w:rsidR="00434F65" w:rsidRDefault="00765A30" w:rsidP="000B7AA6">
      <w:pPr>
        <w:spacing w:after="0"/>
        <w:ind w:left="360"/>
      </w:pPr>
      <w:r>
        <w:t>In</w:t>
      </w:r>
      <w:r w:rsidR="002037C6">
        <w:t xml:space="preserve"> the Solomon Islands and the Pacific,</w:t>
      </w:r>
      <w:r>
        <w:t xml:space="preserve"> p</w:t>
      </w:r>
      <w:r w:rsidR="00434F65">
        <w:t xml:space="preserve">rojects must contribute to one of the two following </w:t>
      </w:r>
      <w:r w:rsidR="00EF2EB7">
        <w:t xml:space="preserve">WPHF </w:t>
      </w:r>
      <w:r w:rsidR="00434F65">
        <w:t>Outcome areas:</w:t>
      </w:r>
    </w:p>
    <w:p w14:paraId="70493346" w14:textId="77777777" w:rsidR="002037C6" w:rsidRDefault="002037C6" w:rsidP="002037C6">
      <w:pPr>
        <w:spacing w:after="0"/>
      </w:pPr>
    </w:p>
    <w:p w14:paraId="4340FA5E" w14:textId="77777777" w:rsidR="002037C6" w:rsidRPr="002037C6" w:rsidRDefault="002037C6" w:rsidP="002037C6">
      <w:pPr>
        <w:pStyle w:val="ListParagraph"/>
        <w:numPr>
          <w:ilvl w:val="0"/>
          <w:numId w:val="16"/>
        </w:numPr>
        <w:spacing w:after="0"/>
      </w:pPr>
      <w:r w:rsidRPr="002037C6">
        <w:rPr>
          <w:b/>
        </w:rPr>
        <w:lastRenderedPageBreak/>
        <w:t>Outcome 3: Humanitarian/crisis response planning, frameworks and programming which is informed by gender analysis and needs assessments</w:t>
      </w:r>
      <w:r w:rsidRPr="002037C6">
        <w:t xml:space="preserve"> </w:t>
      </w:r>
    </w:p>
    <w:p w14:paraId="2ED1BE64" w14:textId="77777777" w:rsidR="002037C6" w:rsidRPr="002037C6" w:rsidRDefault="002037C6" w:rsidP="002037C6">
      <w:pPr>
        <w:pStyle w:val="ListParagraph"/>
        <w:numPr>
          <w:ilvl w:val="0"/>
          <w:numId w:val="16"/>
        </w:numPr>
        <w:spacing w:after="0"/>
      </w:pPr>
      <w:r>
        <w:rPr>
          <w:b/>
        </w:rPr>
        <w:t>Outcome 5</w:t>
      </w:r>
      <w:r w:rsidRPr="002037C6">
        <w:rPr>
          <w:b/>
        </w:rPr>
        <w:t>: Protection</w:t>
      </w:r>
    </w:p>
    <w:p w14:paraId="3F81DECA" w14:textId="77777777" w:rsidR="002037C6" w:rsidRPr="002037C6" w:rsidRDefault="002037C6" w:rsidP="002037C6">
      <w:pPr>
        <w:spacing w:after="0"/>
      </w:pPr>
    </w:p>
    <w:p w14:paraId="744CCAC3" w14:textId="0697D9E5" w:rsidR="00765A30" w:rsidRDefault="00765A30" w:rsidP="000B7AA6">
      <w:pPr>
        <w:spacing w:after="0"/>
        <w:ind w:left="360"/>
      </w:pPr>
      <w:r>
        <w:t xml:space="preserve">The Outcome indicator must be repeated from the </w:t>
      </w:r>
      <w:r w:rsidR="00EF2EB7">
        <w:t xml:space="preserve">WPHF’s </w:t>
      </w:r>
      <w:r>
        <w:t>results matrix below.</w:t>
      </w:r>
    </w:p>
    <w:p w14:paraId="410BA3CF" w14:textId="77777777" w:rsidR="00765A30" w:rsidRDefault="00765A30" w:rsidP="000B7AA6">
      <w:pPr>
        <w:spacing w:after="0"/>
        <w:ind w:left="360"/>
      </w:pPr>
    </w:p>
    <w:p w14:paraId="76981789" w14:textId="77777777" w:rsidR="00501742" w:rsidRDefault="00501742" w:rsidP="000B7AA6">
      <w:pPr>
        <w:spacing w:after="0"/>
        <w:ind w:left="360"/>
        <w:rPr>
          <w:b/>
        </w:rPr>
      </w:pPr>
      <w:r>
        <w:rPr>
          <w:b/>
        </w:rPr>
        <w:t>Must applicants contribute to the project budget?</w:t>
      </w:r>
    </w:p>
    <w:p w14:paraId="43CBCCB8" w14:textId="77777777" w:rsidR="00501742" w:rsidRDefault="009C018C" w:rsidP="000B7AA6">
      <w:pPr>
        <w:spacing w:after="0"/>
        <w:ind w:left="360"/>
        <w:rPr>
          <w:rFonts w:ascii="Calibri" w:hAnsi="Calibri"/>
          <w:color w:val="1C1C1C"/>
          <w:sz w:val="21"/>
          <w:szCs w:val="21"/>
        </w:rPr>
      </w:pPr>
      <w:r>
        <w:rPr>
          <w:rFonts w:ascii="Calibri" w:hAnsi="Calibri"/>
          <w:color w:val="1C1C1C"/>
          <w:sz w:val="21"/>
          <w:szCs w:val="21"/>
        </w:rPr>
        <w:t>The Government</w:t>
      </w:r>
      <w:r w:rsidR="002037C6">
        <w:rPr>
          <w:rFonts w:ascii="Calibri" w:hAnsi="Calibri"/>
          <w:color w:val="1C1C1C"/>
          <w:sz w:val="21"/>
          <w:szCs w:val="21"/>
        </w:rPr>
        <w:t>s</w:t>
      </w:r>
      <w:r>
        <w:rPr>
          <w:rFonts w:ascii="Calibri" w:hAnsi="Calibri"/>
          <w:color w:val="1C1C1C"/>
          <w:sz w:val="21"/>
          <w:szCs w:val="21"/>
        </w:rPr>
        <w:t xml:space="preserve"> are </w:t>
      </w:r>
      <w:r w:rsidR="00501742">
        <w:rPr>
          <w:rFonts w:ascii="Calibri" w:hAnsi="Calibri"/>
          <w:color w:val="1C1C1C"/>
          <w:sz w:val="21"/>
          <w:szCs w:val="21"/>
        </w:rPr>
        <w:t>encouraged to make financial and/or in-kind contributions</w:t>
      </w:r>
      <w:r>
        <w:rPr>
          <w:rFonts w:ascii="Calibri" w:hAnsi="Calibri"/>
          <w:color w:val="1C1C1C"/>
          <w:sz w:val="21"/>
          <w:szCs w:val="21"/>
        </w:rPr>
        <w:t>. C</w:t>
      </w:r>
      <w:r w:rsidR="00501742">
        <w:rPr>
          <w:rFonts w:ascii="Calibri" w:hAnsi="Calibri"/>
          <w:color w:val="1C1C1C"/>
          <w:sz w:val="21"/>
          <w:szCs w:val="21"/>
        </w:rPr>
        <w:t xml:space="preserve">ivil society organizations are not required to do so. </w:t>
      </w:r>
    </w:p>
    <w:p w14:paraId="7C7982AF" w14:textId="77777777" w:rsidR="00071653" w:rsidRDefault="00071653" w:rsidP="000B7AA6">
      <w:pPr>
        <w:spacing w:after="0"/>
        <w:ind w:left="360"/>
        <w:rPr>
          <w:rFonts w:ascii="Calibri" w:hAnsi="Calibri"/>
          <w:color w:val="1C1C1C"/>
          <w:sz w:val="21"/>
          <w:szCs w:val="21"/>
        </w:rPr>
      </w:pPr>
    </w:p>
    <w:p w14:paraId="5C977D97" w14:textId="77777777" w:rsidR="00974D74" w:rsidRDefault="00974D74" w:rsidP="000B7AA6">
      <w:pPr>
        <w:spacing w:after="0" w:line="294" w:lineRule="atLeast"/>
        <w:ind w:left="360"/>
        <w:rPr>
          <w:rFonts w:ascii="Calibri" w:eastAsia="Times New Roman" w:hAnsi="Calibri" w:cs="Times New Roman"/>
          <w:b/>
          <w:color w:val="1C1C1C"/>
          <w:sz w:val="21"/>
          <w:szCs w:val="21"/>
        </w:rPr>
      </w:pPr>
      <w:r>
        <w:rPr>
          <w:rFonts w:ascii="Calibri" w:eastAsia="Times New Roman" w:hAnsi="Calibri" w:cs="Times New Roman"/>
          <w:b/>
          <w:color w:val="1C1C1C"/>
          <w:sz w:val="21"/>
          <w:szCs w:val="21"/>
        </w:rPr>
        <w:t>Can my project be altered after approval?</w:t>
      </w:r>
    </w:p>
    <w:p w14:paraId="3AB9FA2C" w14:textId="77777777" w:rsidR="00974D74" w:rsidRPr="00974D74" w:rsidRDefault="00974D74" w:rsidP="000B7AA6">
      <w:pPr>
        <w:spacing w:after="0" w:line="294" w:lineRule="atLeast"/>
        <w:ind w:left="360"/>
        <w:rPr>
          <w:rFonts w:ascii="Calibri" w:eastAsia="Times New Roman" w:hAnsi="Calibri" w:cs="Times New Roman"/>
          <w:color w:val="1C1C1C"/>
          <w:sz w:val="21"/>
          <w:szCs w:val="21"/>
        </w:rPr>
      </w:pPr>
      <w:r>
        <w:rPr>
          <w:rFonts w:ascii="Calibri" w:eastAsia="Times New Roman" w:hAnsi="Calibri" w:cs="Times New Roman"/>
          <w:color w:val="1C1C1C"/>
          <w:sz w:val="21"/>
          <w:szCs w:val="21"/>
        </w:rPr>
        <w:t>Yes, a project may be altered, however organizations must submit a revised project document to the Technical Secretariat for re-approval.</w:t>
      </w:r>
    </w:p>
    <w:p w14:paraId="0BBF4E8B" w14:textId="77777777" w:rsidR="003600B1" w:rsidRDefault="007205A1" w:rsidP="000B7AA6">
      <w:pPr>
        <w:spacing w:after="0"/>
        <w:ind w:left="360"/>
        <w:rPr>
          <w:b/>
        </w:rPr>
      </w:pPr>
      <w:r>
        <w:rPr>
          <w:b/>
        </w:rPr>
        <w:br/>
      </w:r>
      <w:r w:rsidR="00E4104B">
        <w:rPr>
          <w:b/>
        </w:rPr>
        <w:t>7.</w:t>
      </w:r>
      <w:r w:rsidR="00E73428" w:rsidRPr="00655B08">
        <w:rPr>
          <w:b/>
        </w:rPr>
        <w:t xml:space="preserve"> Where</w:t>
      </w:r>
      <w:r w:rsidR="00431426">
        <w:rPr>
          <w:b/>
        </w:rPr>
        <w:t>, w</w:t>
      </w:r>
      <w:r w:rsidR="00E73428" w:rsidRPr="00655B08">
        <w:rPr>
          <w:b/>
        </w:rPr>
        <w:t>hen</w:t>
      </w:r>
      <w:r w:rsidR="00431426">
        <w:rPr>
          <w:b/>
        </w:rPr>
        <w:t xml:space="preserve"> and how</w:t>
      </w:r>
      <w:r w:rsidR="00E73428" w:rsidRPr="00655B08">
        <w:rPr>
          <w:b/>
        </w:rPr>
        <w:t xml:space="preserve"> to Apply?</w:t>
      </w:r>
    </w:p>
    <w:p w14:paraId="4534D4D5" w14:textId="77777777" w:rsidR="003600B1" w:rsidRDefault="003600B1" w:rsidP="000B7AA6">
      <w:pPr>
        <w:spacing w:after="0"/>
        <w:ind w:left="360"/>
        <w:rPr>
          <w:i/>
        </w:rPr>
      </w:pPr>
    </w:p>
    <w:p w14:paraId="16D5BAE9" w14:textId="10B0915E" w:rsidR="00125E43" w:rsidRPr="00C674DE" w:rsidRDefault="00125E43" w:rsidP="000B7AA6">
      <w:pPr>
        <w:spacing w:after="0"/>
        <w:ind w:left="360"/>
        <w:rPr>
          <w:b/>
        </w:rPr>
      </w:pPr>
      <w:r w:rsidRPr="00C674DE">
        <w:rPr>
          <w:b/>
        </w:rPr>
        <w:t xml:space="preserve">The deadline for submission </w:t>
      </w:r>
      <w:r w:rsidR="00FD39B4" w:rsidRPr="00C674DE">
        <w:rPr>
          <w:b/>
        </w:rPr>
        <w:t xml:space="preserve">is </w:t>
      </w:r>
      <w:r w:rsidR="00337505">
        <w:rPr>
          <w:b/>
          <w:color w:val="FF0000"/>
        </w:rPr>
        <w:t>2 February</w:t>
      </w:r>
      <w:r w:rsidR="00EF2EB7">
        <w:rPr>
          <w:b/>
          <w:color w:val="FF0000"/>
        </w:rPr>
        <w:t>, 2018</w:t>
      </w:r>
      <w:r w:rsidR="00FD39B4" w:rsidRPr="00C674DE">
        <w:rPr>
          <w:b/>
          <w:color w:val="FF0000"/>
        </w:rPr>
        <w:t xml:space="preserve">. </w:t>
      </w:r>
      <w:r w:rsidR="00FD39B4" w:rsidRPr="00C674DE">
        <w:rPr>
          <w:b/>
        </w:rPr>
        <w:t>Applications received after that date will not be considered.</w:t>
      </w:r>
    </w:p>
    <w:p w14:paraId="207033B8" w14:textId="77777777" w:rsidR="00FD39B4" w:rsidRDefault="00FD39B4" w:rsidP="000B7AA6">
      <w:pPr>
        <w:spacing w:after="0"/>
        <w:ind w:left="360"/>
      </w:pPr>
    </w:p>
    <w:p w14:paraId="0B7CE0BB" w14:textId="621E8CEA" w:rsidR="00FD39B4" w:rsidRPr="00FD39B4" w:rsidRDefault="00FD39B4" w:rsidP="000B7AA6">
      <w:pPr>
        <w:spacing w:after="0"/>
        <w:ind w:left="360"/>
        <w:rPr>
          <w:b/>
        </w:rPr>
      </w:pPr>
      <w:r w:rsidRPr="00FD39B4">
        <w:rPr>
          <w:b/>
        </w:rPr>
        <w:t xml:space="preserve">Application packages can be emailed to: </w:t>
      </w:r>
      <w:hyperlink r:id="rId9" w:history="1">
        <w:r w:rsidR="0095676C" w:rsidRPr="007A28BB">
          <w:rPr>
            <w:rStyle w:val="Hyperlink"/>
          </w:rPr>
          <w:t>titiana.marawa@unwomen.org</w:t>
        </w:r>
      </w:hyperlink>
      <w:r w:rsidR="00B4118D">
        <w:t xml:space="preserve"> </w:t>
      </w:r>
      <w:r w:rsidRPr="00424263">
        <w:rPr>
          <w:b/>
          <w:highlight w:val="yellow"/>
        </w:rPr>
        <w:t xml:space="preserve"> </w:t>
      </w:r>
    </w:p>
    <w:p w14:paraId="50C612F7" w14:textId="77777777" w:rsidR="00FD39B4" w:rsidRPr="00FD39B4" w:rsidRDefault="00FD39B4" w:rsidP="000B7AA6">
      <w:pPr>
        <w:spacing w:after="0"/>
        <w:ind w:left="360"/>
      </w:pPr>
      <w:r>
        <w:t>Please submit applica</w:t>
      </w:r>
      <w:r w:rsidR="006E34A3">
        <w:t>tions in .doc, .docx, or .pdf</w:t>
      </w:r>
      <w:r>
        <w:t xml:space="preserve"> format. No other formats will be accepted.</w:t>
      </w:r>
    </w:p>
    <w:p w14:paraId="59D26DF0" w14:textId="77777777" w:rsidR="00FD39B4" w:rsidRDefault="00FD39B4" w:rsidP="000B7AA6">
      <w:pPr>
        <w:spacing w:after="0"/>
        <w:ind w:left="360"/>
      </w:pPr>
    </w:p>
    <w:p w14:paraId="78D072B7" w14:textId="10CADB48" w:rsidR="00FD39B4" w:rsidRPr="00C674DE" w:rsidRDefault="00FD39B4" w:rsidP="000B7AA6">
      <w:pPr>
        <w:spacing w:after="0"/>
        <w:ind w:left="360"/>
      </w:pPr>
      <w:r w:rsidRPr="00C674DE">
        <w:t xml:space="preserve">The </w:t>
      </w:r>
      <w:r w:rsidR="001D584D">
        <w:t>WPHF</w:t>
      </w:r>
      <w:r w:rsidR="001D584D" w:rsidRPr="00C674DE">
        <w:t xml:space="preserve"> </w:t>
      </w:r>
      <w:r w:rsidRPr="00C674DE">
        <w:t xml:space="preserve">will acknowledge receipt of application through a confirmation e-mail. If you do not receive the confirmation email within 48 hours, please contact the </w:t>
      </w:r>
      <w:r w:rsidR="001D584D">
        <w:t>WPHF</w:t>
      </w:r>
      <w:r w:rsidRPr="00C674DE">
        <w:t>.</w:t>
      </w:r>
    </w:p>
    <w:p w14:paraId="6FCDD136" w14:textId="77777777" w:rsidR="00FD39B4" w:rsidRDefault="00FD39B4" w:rsidP="000B7AA6">
      <w:pPr>
        <w:spacing w:after="0"/>
        <w:ind w:left="360"/>
        <w:rPr>
          <w:b/>
        </w:rPr>
      </w:pPr>
    </w:p>
    <w:p w14:paraId="45DFF2D6" w14:textId="77777777" w:rsidR="00E17B9B" w:rsidRPr="00E17B9B" w:rsidRDefault="00FD39B4" w:rsidP="000B7AA6">
      <w:pPr>
        <w:spacing w:after="0"/>
        <w:ind w:left="360"/>
      </w:pPr>
      <w:r>
        <w:t>We can accept applications in</w:t>
      </w:r>
      <w:r w:rsidR="00B4118D">
        <w:t xml:space="preserve"> English</w:t>
      </w:r>
      <w:r>
        <w:t>. Only applications in th</w:t>
      </w:r>
      <w:r w:rsidR="00B4118D">
        <w:t>is</w:t>
      </w:r>
      <w:r>
        <w:t xml:space="preserve"> </w:t>
      </w:r>
      <w:r w:rsidR="00434F65">
        <w:t>l</w:t>
      </w:r>
      <w:r w:rsidR="00B4118D">
        <w:t>anguage</w:t>
      </w:r>
      <w:r>
        <w:t xml:space="preserve"> will be accepted.</w:t>
      </w:r>
    </w:p>
    <w:p w14:paraId="3B73DD13" w14:textId="77777777" w:rsidR="00E17B9B" w:rsidRDefault="00E17B9B" w:rsidP="000B7AA6">
      <w:pPr>
        <w:spacing w:after="0"/>
        <w:ind w:left="360"/>
        <w:rPr>
          <w:i/>
        </w:rPr>
      </w:pPr>
    </w:p>
    <w:p w14:paraId="66F4F9DE" w14:textId="77777777" w:rsidR="00071653" w:rsidRDefault="00071653" w:rsidP="000B7AA6">
      <w:pPr>
        <w:spacing w:after="0"/>
        <w:ind w:left="360"/>
      </w:pPr>
      <w:r>
        <w:t>You may not make changes to your application after it is submitted.</w:t>
      </w:r>
    </w:p>
    <w:p w14:paraId="5F229CED" w14:textId="77777777" w:rsidR="00E17B9B" w:rsidRDefault="00E17B9B" w:rsidP="000B7AA6">
      <w:pPr>
        <w:spacing w:after="0"/>
        <w:ind w:left="360"/>
      </w:pPr>
    </w:p>
    <w:p w14:paraId="4DEB23C9" w14:textId="514B05E3" w:rsidR="00E17B9B" w:rsidRDefault="00E17B9B" w:rsidP="000B7AA6">
      <w:pPr>
        <w:spacing w:after="0"/>
        <w:ind w:left="360"/>
      </w:pPr>
      <w:r>
        <w:t xml:space="preserve">The designated </w:t>
      </w:r>
      <w:r w:rsidR="001D584D">
        <w:t xml:space="preserve">WPHF </w:t>
      </w:r>
      <w:r w:rsidR="00434F65">
        <w:t>Secretariat</w:t>
      </w:r>
      <w:r w:rsidR="000A10B5">
        <w:t xml:space="preserve"> will be able to provide some support to grant applicants. Please note, support is limited and applicants are responsible for </w:t>
      </w:r>
      <w:r w:rsidR="00566F4B">
        <w:t xml:space="preserve">completing </w:t>
      </w:r>
      <w:r w:rsidR="000A10B5">
        <w:t>all components of the application</w:t>
      </w:r>
      <w:r w:rsidR="00566F4B">
        <w:t xml:space="preserve"> themselves</w:t>
      </w:r>
      <w:r w:rsidR="000A10B5">
        <w:t>. Please allow 48 hours for responses to any questions.</w:t>
      </w:r>
    </w:p>
    <w:p w14:paraId="50C8C13E" w14:textId="77777777" w:rsidR="00071653" w:rsidRPr="003600B1" w:rsidRDefault="00071653" w:rsidP="000B7AA6">
      <w:pPr>
        <w:spacing w:after="0"/>
        <w:rPr>
          <w:i/>
        </w:rPr>
      </w:pPr>
    </w:p>
    <w:p w14:paraId="40AA3E97" w14:textId="77777777" w:rsidR="00431426" w:rsidRDefault="00431426" w:rsidP="0061352B">
      <w:pPr>
        <w:spacing w:after="0"/>
        <w:ind w:left="360"/>
        <w:rPr>
          <w:b/>
        </w:rPr>
      </w:pPr>
      <w:r>
        <w:rPr>
          <w:b/>
        </w:rPr>
        <w:t>7.1.</w:t>
      </w:r>
      <w:r w:rsidR="00655B08">
        <w:rPr>
          <w:b/>
        </w:rPr>
        <w:t xml:space="preserve"> </w:t>
      </w:r>
      <w:r w:rsidR="00566F4B">
        <w:rPr>
          <w:b/>
        </w:rPr>
        <w:t>Required Components</w:t>
      </w:r>
      <w:r w:rsidR="00655B08">
        <w:rPr>
          <w:b/>
        </w:rPr>
        <w:t xml:space="preserve"> of the Application Package</w:t>
      </w:r>
    </w:p>
    <w:p w14:paraId="5E30033E" w14:textId="77777777" w:rsidR="00071653" w:rsidRDefault="00071653" w:rsidP="000B7AA6">
      <w:pPr>
        <w:spacing w:after="0"/>
        <w:ind w:left="360"/>
        <w:rPr>
          <w:b/>
        </w:rPr>
      </w:pPr>
    </w:p>
    <w:p w14:paraId="72F939F0" w14:textId="77777777" w:rsidR="00071653" w:rsidRPr="00071653" w:rsidRDefault="00071653" w:rsidP="000B7AA6">
      <w:pPr>
        <w:spacing w:after="0"/>
        <w:ind w:left="360"/>
      </w:pPr>
      <w:r>
        <w:t>Please note, incomplete applications will not be considered.</w:t>
      </w:r>
    </w:p>
    <w:p w14:paraId="5E3092EA" w14:textId="77777777" w:rsidR="00501742" w:rsidRDefault="00501742" w:rsidP="000B7AA6">
      <w:pPr>
        <w:spacing w:after="0"/>
        <w:ind w:left="360"/>
        <w:rPr>
          <w:u w:val="single"/>
        </w:rPr>
      </w:pPr>
    </w:p>
    <w:p w14:paraId="0880F60D" w14:textId="77777777" w:rsidR="00655B08" w:rsidRDefault="00655B08" w:rsidP="000B7AA6">
      <w:pPr>
        <w:spacing w:after="0"/>
        <w:ind w:left="360"/>
      </w:pPr>
      <w:r>
        <w:rPr>
          <w:u w:val="single"/>
        </w:rPr>
        <w:tab/>
      </w:r>
      <w:r w:rsidR="006479E5">
        <w:t>Project Document (</w:t>
      </w:r>
      <w:r w:rsidR="007205A1">
        <w:t xml:space="preserve">attached, </w:t>
      </w:r>
      <w:r w:rsidR="006479E5">
        <w:t>no more than 10 pages)</w:t>
      </w:r>
    </w:p>
    <w:p w14:paraId="566BF86F" w14:textId="77777777" w:rsidR="009C018C" w:rsidRDefault="006479E5" w:rsidP="000B7AA6">
      <w:pPr>
        <w:spacing w:after="0"/>
        <w:ind w:left="360"/>
        <w:rPr>
          <w:u w:val="single"/>
        </w:rPr>
      </w:pPr>
      <w:r>
        <w:rPr>
          <w:u w:val="single"/>
        </w:rPr>
        <w:tab/>
      </w:r>
      <w:r>
        <w:t>Results Framework (see Project Document Annex: A)</w:t>
      </w:r>
      <w:r>
        <w:br/>
      </w:r>
      <w:r>
        <w:rPr>
          <w:u w:val="single"/>
        </w:rPr>
        <w:tab/>
      </w:r>
      <w:r>
        <w:t>Project Budget (see Project Document Annex: B)</w:t>
      </w:r>
      <w:r w:rsidR="00B130D5">
        <w:br/>
      </w:r>
      <w:r w:rsidR="00B130D5">
        <w:tab/>
      </w:r>
    </w:p>
    <w:p w14:paraId="07269E82" w14:textId="77777777" w:rsidR="006479E5" w:rsidRPr="003600B1" w:rsidRDefault="006479E5" w:rsidP="000B7AA6">
      <w:pPr>
        <w:spacing w:after="0"/>
        <w:ind w:left="360"/>
      </w:pPr>
      <w:r>
        <w:rPr>
          <w:u w:val="single"/>
        </w:rPr>
        <w:tab/>
      </w:r>
      <w:r w:rsidR="0001380B">
        <w:t>Proof of legal registration or status</w:t>
      </w:r>
      <w:r w:rsidR="006E34A3">
        <w:br/>
      </w:r>
    </w:p>
    <w:p w14:paraId="6F9B8F15" w14:textId="77777777" w:rsidR="00501742" w:rsidRDefault="00501742" w:rsidP="000B7AA6">
      <w:pPr>
        <w:spacing w:after="0"/>
      </w:pPr>
    </w:p>
    <w:p w14:paraId="3DCCF8C3" w14:textId="77777777" w:rsidR="003600B1" w:rsidRPr="003600B1" w:rsidRDefault="00431426" w:rsidP="000B7AA6">
      <w:pPr>
        <w:spacing w:after="0"/>
        <w:ind w:left="360"/>
        <w:rPr>
          <w:b/>
        </w:rPr>
      </w:pPr>
      <w:r>
        <w:rPr>
          <w:b/>
        </w:rPr>
        <w:t>7.2.</w:t>
      </w:r>
      <w:r w:rsidR="003600B1">
        <w:rPr>
          <w:b/>
        </w:rPr>
        <w:t xml:space="preserve"> Evaluation Criteria</w:t>
      </w:r>
      <w:r w:rsidR="008B0A76">
        <w:rPr>
          <w:b/>
        </w:rPr>
        <w:br/>
      </w:r>
    </w:p>
    <w:p w14:paraId="7B702C79" w14:textId="77777777" w:rsidR="005A0242" w:rsidRDefault="005A0242" w:rsidP="000B7AA6">
      <w:pPr>
        <w:spacing w:after="0"/>
        <w:ind w:left="360"/>
      </w:pPr>
      <w:r>
        <w:lastRenderedPageBreak/>
        <w:t>As you write your application, please keep in mind that proposals will be evaluated against the following criteria:</w:t>
      </w:r>
    </w:p>
    <w:p w14:paraId="196723C8" w14:textId="77777777" w:rsidR="0029003E" w:rsidRDefault="0029003E" w:rsidP="000B7AA6">
      <w:pPr>
        <w:spacing w:after="0"/>
        <w:ind w:left="360"/>
      </w:pPr>
    </w:p>
    <w:p w14:paraId="24D47305" w14:textId="77777777" w:rsidR="005A0242" w:rsidRPr="00032776" w:rsidRDefault="005A0242" w:rsidP="000B7AA6">
      <w:pPr>
        <w:spacing w:after="0"/>
        <w:ind w:firstLine="720"/>
        <w:contextualSpacing/>
        <w:rPr>
          <w:u w:val="single"/>
        </w:rPr>
      </w:pPr>
      <w:r w:rsidRPr="00032776">
        <w:rPr>
          <w:u w:val="single"/>
        </w:rPr>
        <w:t xml:space="preserve">Programme </w:t>
      </w:r>
      <w:r>
        <w:rPr>
          <w:u w:val="single"/>
        </w:rPr>
        <w:t>m</w:t>
      </w:r>
      <w:r w:rsidRPr="00032776">
        <w:rPr>
          <w:u w:val="single"/>
        </w:rPr>
        <w:t xml:space="preserve">anagement and </w:t>
      </w:r>
      <w:r>
        <w:rPr>
          <w:u w:val="single"/>
        </w:rPr>
        <w:t>m</w:t>
      </w:r>
      <w:r w:rsidRPr="00032776">
        <w:rPr>
          <w:u w:val="single"/>
        </w:rPr>
        <w:t>onitoring</w:t>
      </w:r>
      <w:r w:rsidRPr="00F51FA5">
        <w:t>:</w:t>
      </w:r>
    </w:p>
    <w:p w14:paraId="054D459C" w14:textId="77777777" w:rsidR="005A0242" w:rsidRPr="00032776" w:rsidRDefault="001841DE" w:rsidP="000B7AA6">
      <w:pPr>
        <w:pStyle w:val="Title"/>
        <w:numPr>
          <w:ilvl w:val="0"/>
          <w:numId w:val="6"/>
        </w:numPr>
        <w:spacing w:before="60"/>
        <w:contextualSpacing/>
        <w:jc w:val="left"/>
        <w:rPr>
          <w:rFonts w:ascii="Calibri" w:hAnsi="Calibri"/>
          <w:b w:val="0"/>
          <w:sz w:val="22"/>
          <w:szCs w:val="22"/>
        </w:rPr>
      </w:pPr>
      <w:r>
        <w:rPr>
          <w:rFonts w:ascii="Calibri" w:hAnsi="Calibri"/>
          <w:b w:val="0"/>
          <w:sz w:val="22"/>
        </w:rPr>
        <w:t>A c</w:t>
      </w:r>
      <w:r w:rsidR="005A0242" w:rsidRPr="00032776">
        <w:rPr>
          <w:rFonts w:ascii="Calibri" w:hAnsi="Calibri"/>
          <w:b w:val="0"/>
          <w:sz w:val="22"/>
        </w:rPr>
        <w:t>apacity</w:t>
      </w:r>
      <w:r w:rsidR="005A0242">
        <w:rPr>
          <w:rFonts w:ascii="Calibri" w:hAnsi="Calibri"/>
          <w:b w:val="0"/>
          <w:sz w:val="22"/>
        </w:rPr>
        <w:t xml:space="preserve"> building plan for CSO partners is in place</w:t>
      </w:r>
      <w:r w:rsidR="005A0242" w:rsidRPr="00032776">
        <w:rPr>
          <w:rFonts w:ascii="Calibri" w:hAnsi="Calibri"/>
          <w:b w:val="0"/>
          <w:sz w:val="22"/>
        </w:rPr>
        <w:t xml:space="preserve"> to deliver programme results</w:t>
      </w:r>
      <w:r>
        <w:rPr>
          <w:rFonts w:ascii="Calibri" w:hAnsi="Calibri"/>
          <w:b w:val="0"/>
          <w:sz w:val="22"/>
        </w:rPr>
        <w:t>.</w:t>
      </w:r>
    </w:p>
    <w:p w14:paraId="00742D65" w14:textId="77777777" w:rsidR="005A0242" w:rsidRPr="00032776" w:rsidRDefault="005A0242" w:rsidP="000B7AA6">
      <w:pPr>
        <w:numPr>
          <w:ilvl w:val="0"/>
          <w:numId w:val="6"/>
        </w:numPr>
        <w:autoSpaceDE w:val="0"/>
        <w:autoSpaceDN w:val="0"/>
        <w:adjustRightInd w:val="0"/>
        <w:spacing w:after="0" w:line="240" w:lineRule="auto"/>
        <w:contextualSpacing/>
      </w:pPr>
      <w:r>
        <w:t xml:space="preserve">Realistic </w:t>
      </w:r>
      <w:r w:rsidRPr="00032776">
        <w:t>results schedule</w:t>
      </w:r>
      <w:r>
        <w:t xml:space="preserve"> - i</w:t>
      </w:r>
      <w:r w:rsidRPr="00032776">
        <w:t xml:space="preserve">n general, </w:t>
      </w:r>
      <w:r>
        <w:t>projects</w:t>
      </w:r>
      <w:r w:rsidRPr="00032776">
        <w:t xml:space="preserve"> should not last for more than </w:t>
      </w:r>
      <w:r w:rsidR="00E4104B">
        <w:t>24</w:t>
      </w:r>
      <w:r w:rsidR="00E4104B" w:rsidRPr="00032776">
        <w:t xml:space="preserve"> </w:t>
      </w:r>
      <w:r w:rsidRPr="00032776">
        <w:t>months</w:t>
      </w:r>
      <w:r>
        <w:t>.</w:t>
      </w:r>
    </w:p>
    <w:p w14:paraId="03FE2641" w14:textId="77777777" w:rsidR="005A0242" w:rsidRPr="005A0242" w:rsidRDefault="005A0242" w:rsidP="000B7AA6">
      <w:pPr>
        <w:numPr>
          <w:ilvl w:val="0"/>
          <w:numId w:val="6"/>
        </w:numPr>
        <w:autoSpaceDE w:val="0"/>
        <w:autoSpaceDN w:val="0"/>
        <w:adjustRightInd w:val="0"/>
        <w:spacing w:after="0" w:line="240" w:lineRule="auto"/>
        <w:contextualSpacing/>
      </w:pPr>
      <w:r w:rsidRPr="00032776">
        <w:t xml:space="preserve">The allocation of budget resources to </w:t>
      </w:r>
      <w:r>
        <w:t>monitor</w:t>
      </w:r>
      <w:r w:rsidRPr="00032776">
        <w:t xml:space="preserve"> and evaluate </w:t>
      </w:r>
      <w:r>
        <w:t>project activities over time</w:t>
      </w:r>
      <w:r w:rsidRPr="00032776">
        <w:t>.</w:t>
      </w:r>
    </w:p>
    <w:p w14:paraId="480E45AF" w14:textId="77777777" w:rsidR="005A0242" w:rsidRDefault="005A0242" w:rsidP="000B7AA6">
      <w:pPr>
        <w:spacing w:after="0"/>
        <w:ind w:firstLine="720"/>
        <w:contextualSpacing/>
        <w:rPr>
          <w:u w:val="single"/>
        </w:rPr>
      </w:pPr>
    </w:p>
    <w:p w14:paraId="66942724" w14:textId="77777777" w:rsidR="005A0242" w:rsidRPr="00032776" w:rsidRDefault="005A0242" w:rsidP="000B7AA6">
      <w:pPr>
        <w:spacing w:after="0"/>
        <w:ind w:firstLine="720"/>
        <w:contextualSpacing/>
        <w:rPr>
          <w:u w:val="single"/>
        </w:rPr>
      </w:pPr>
      <w:r w:rsidRPr="00032776">
        <w:rPr>
          <w:u w:val="single"/>
        </w:rPr>
        <w:t>Budget</w:t>
      </w:r>
      <w:r w:rsidRPr="00F51FA5">
        <w:t>:</w:t>
      </w:r>
    </w:p>
    <w:p w14:paraId="5CAE857D" w14:textId="77777777" w:rsidR="005A0242" w:rsidRPr="00032776" w:rsidRDefault="005A0242" w:rsidP="000B7AA6">
      <w:pPr>
        <w:pStyle w:val="Title"/>
        <w:numPr>
          <w:ilvl w:val="0"/>
          <w:numId w:val="5"/>
        </w:numPr>
        <w:spacing w:before="60"/>
        <w:contextualSpacing/>
        <w:jc w:val="left"/>
        <w:rPr>
          <w:rFonts w:ascii="Calibri" w:hAnsi="Calibri"/>
          <w:b w:val="0"/>
          <w:sz w:val="22"/>
          <w:szCs w:val="22"/>
        </w:rPr>
      </w:pPr>
      <w:r w:rsidRPr="00032776">
        <w:rPr>
          <w:rFonts w:ascii="Calibri" w:hAnsi="Calibri"/>
          <w:b w:val="0"/>
          <w:sz w:val="22"/>
        </w:rPr>
        <w:t xml:space="preserve">The </w:t>
      </w:r>
      <w:r w:rsidR="00B00CA8">
        <w:rPr>
          <w:rFonts w:ascii="Calibri" w:hAnsi="Calibri"/>
          <w:b w:val="0"/>
          <w:sz w:val="22"/>
        </w:rPr>
        <w:t>project</w:t>
      </w:r>
      <w:r>
        <w:rPr>
          <w:rFonts w:ascii="Calibri" w:hAnsi="Calibri"/>
          <w:b w:val="0"/>
          <w:sz w:val="22"/>
        </w:rPr>
        <w:t xml:space="preserve"> </w:t>
      </w:r>
      <w:r w:rsidRPr="00032776">
        <w:rPr>
          <w:rFonts w:ascii="Calibri" w:hAnsi="Calibri"/>
          <w:b w:val="0"/>
          <w:sz w:val="22"/>
        </w:rPr>
        <w:t>falls within</w:t>
      </w:r>
      <w:r>
        <w:rPr>
          <w:rFonts w:ascii="Calibri" w:hAnsi="Calibri"/>
          <w:b w:val="0"/>
          <w:sz w:val="22"/>
        </w:rPr>
        <w:t xml:space="preserve"> the limits set by the national steering committee. </w:t>
      </w:r>
      <w:r w:rsidRPr="00032776">
        <w:rPr>
          <w:rFonts w:ascii="Calibri" w:hAnsi="Calibri"/>
          <w:b w:val="0"/>
          <w:sz w:val="22"/>
        </w:rPr>
        <w:t xml:space="preserve"> </w:t>
      </w:r>
    </w:p>
    <w:p w14:paraId="2E43FE74" w14:textId="77777777" w:rsidR="005A0242" w:rsidRPr="00032776" w:rsidRDefault="005A0242" w:rsidP="000B7AA6">
      <w:pPr>
        <w:pStyle w:val="Title"/>
        <w:numPr>
          <w:ilvl w:val="0"/>
          <w:numId w:val="5"/>
        </w:numPr>
        <w:spacing w:before="60"/>
        <w:contextualSpacing/>
        <w:jc w:val="left"/>
        <w:rPr>
          <w:rFonts w:ascii="Calibri" w:hAnsi="Calibri"/>
          <w:b w:val="0"/>
          <w:sz w:val="22"/>
          <w:szCs w:val="22"/>
        </w:rPr>
      </w:pPr>
      <w:r w:rsidRPr="00032776">
        <w:rPr>
          <w:rFonts w:ascii="Calibri" w:hAnsi="Calibri"/>
          <w:b w:val="0"/>
          <w:sz w:val="22"/>
        </w:rPr>
        <w:t xml:space="preserve">The </w:t>
      </w:r>
      <w:r>
        <w:rPr>
          <w:rFonts w:ascii="Calibri" w:hAnsi="Calibri"/>
          <w:b w:val="0"/>
          <w:sz w:val="22"/>
        </w:rPr>
        <w:t xml:space="preserve">project </w:t>
      </w:r>
      <w:r w:rsidRPr="00032776">
        <w:rPr>
          <w:rFonts w:ascii="Calibri" w:hAnsi="Calibri"/>
          <w:b w:val="0"/>
          <w:sz w:val="22"/>
        </w:rPr>
        <w:t>demonstrates its capacity to</w:t>
      </w:r>
      <w:r>
        <w:rPr>
          <w:rFonts w:ascii="Calibri" w:hAnsi="Calibri"/>
          <w:b w:val="0"/>
          <w:sz w:val="22"/>
        </w:rPr>
        <w:t xml:space="preserve"> catalyse additional finance. </w:t>
      </w:r>
    </w:p>
    <w:p w14:paraId="01856D27" w14:textId="77777777" w:rsidR="005A0242" w:rsidRPr="00032776" w:rsidRDefault="005A0242" w:rsidP="000B7AA6">
      <w:pPr>
        <w:numPr>
          <w:ilvl w:val="0"/>
          <w:numId w:val="5"/>
        </w:numPr>
        <w:autoSpaceDE w:val="0"/>
        <w:autoSpaceDN w:val="0"/>
        <w:adjustRightInd w:val="0"/>
        <w:spacing w:after="0" w:line="240" w:lineRule="auto"/>
        <w:contextualSpacing/>
      </w:pPr>
      <w:r w:rsidRPr="00032776">
        <w:t>The budget is sufficient and reasonable for the activities proposed and takes the scale of problems into account</w:t>
      </w:r>
      <w:r>
        <w:t>.</w:t>
      </w:r>
    </w:p>
    <w:p w14:paraId="76B92FCE" w14:textId="77777777" w:rsidR="005A0242" w:rsidRDefault="005A0242" w:rsidP="000B7AA6">
      <w:pPr>
        <w:numPr>
          <w:ilvl w:val="0"/>
          <w:numId w:val="5"/>
        </w:numPr>
        <w:autoSpaceDE w:val="0"/>
        <w:autoSpaceDN w:val="0"/>
        <w:adjustRightInd w:val="0"/>
        <w:spacing w:after="0" w:line="240" w:lineRule="auto"/>
        <w:contextualSpacing/>
      </w:pPr>
      <w:r w:rsidRPr="00032776">
        <w:t xml:space="preserve">The budget includes indirect operational costs at the </w:t>
      </w:r>
      <w:r>
        <w:t xml:space="preserve">allowed </w:t>
      </w:r>
      <w:r w:rsidRPr="00032776">
        <w:t>level</w:t>
      </w:r>
      <w:r>
        <w:t xml:space="preserve"> (no more than 7%).</w:t>
      </w:r>
      <w:r w:rsidRPr="00032776">
        <w:t xml:space="preserve"> </w:t>
      </w:r>
    </w:p>
    <w:p w14:paraId="396BEC58" w14:textId="77777777" w:rsidR="005A0242" w:rsidRPr="004670C6" w:rsidRDefault="005A0242" w:rsidP="000B7AA6">
      <w:pPr>
        <w:autoSpaceDE w:val="0"/>
        <w:autoSpaceDN w:val="0"/>
        <w:adjustRightInd w:val="0"/>
        <w:spacing w:after="0" w:line="240" w:lineRule="auto"/>
        <w:contextualSpacing/>
      </w:pPr>
    </w:p>
    <w:p w14:paraId="7C56D0BE" w14:textId="77777777" w:rsidR="005A0242" w:rsidRPr="00032776" w:rsidRDefault="005A0242" w:rsidP="000B7AA6">
      <w:pPr>
        <w:spacing w:after="0"/>
        <w:ind w:firstLine="720"/>
        <w:contextualSpacing/>
        <w:rPr>
          <w:u w:val="single"/>
        </w:rPr>
      </w:pPr>
      <w:r w:rsidRPr="00032776">
        <w:rPr>
          <w:u w:val="single"/>
        </w:rPr>
        <w:t>Pro</w:t>
      </w:r>
      <w:r>
        <w:rPr>
          <w:u w:val="single"/>
        </w:rPr>
        <w:t>ject d</w:t>
      </w:r>
      <w:r w:rsidRPr="00032776">
        <w:rPr>
          <w:u w:val="single"/>
        </w:rPr>
        <w:t xml:space="preserve">esign and </w:t>
      </w:r>
      <w:r>
        <w:rPr>
          <w:u w:val="single"/>
        </w:rPr>
        <w:t>o</w:t>
      </w:r>
      <w:r w:rsidRPr="00032776">
        <w:rPr>
          <w:u w:val="single"/>
        </w:rPr>
        <w:t>bjectives</w:t>
      </w:r>
      <w:r w:rsidRPr="00F51FA5">
        <w:t>:</w:t>
      </w:r>
    </w:p>
    <w:p w14:paraId="299314FE" w14:textId="462DC02A" w:rsidR="005A0242" w:rsidRPr="00032776" w:rsidRDefault="005A0242" w:rsidP="000B7AA6">
      <w:pPr>
        <w:numPr>
          <w:ilvl w:val="0"/>
          <w:numId w:val="4"/>
        </w:numPr>
        <w:spacing w:before="60" w:after="0" w:line="240" w:lineRule="auto"/>
        <w:contextualSpacing/>
        <w:rPr>
          <w:rFonts w:eastAsia="Times New Roman"/>
        </w:rPr>
      </w:pPr>
      <w:r>
        <w:t xml:space="preserve">Alignment with the </w:t>
      </w:r>
      <w:r w:rsidR="001D584D">
        <w:t xml:space="preserve">WPHF’s </w:t>
      </w:r>
      <w:r>
        <w:t>theory of change, particularly with respect to a specific outcome and indicator in its results framework</w:t>
      </w:r>
      <w:r w:rsidR="00AD4576">
        <w:t xml:space="preserve"> (see </w:t>
      </w:r>
      <w:r w:rsidR="00765A30">
        <w:t>matrix below</w:t>
      </w:r>
      <w:r w:rsidR="00AD4576">
        <w:t>)</w:t>
      </w:r>
      <w:r>
        <w:t xml:space="preserve">. </w:t>
      </w:r>
    </w:p>
    <w:p w14:paraId="0A991371" w14:textId="77777777" w:rsidR="005A0242" w:rsidRPr="00032776" w:rsidRDefault="005A0242" w:rsidP="000B7AA6">
      <w:pPr>
        <w:pStyle w:val="Title"/>
        <w:numPr>
          <w:ilvl w:val="0"/>
          <w:numId w:val="4"/>
        </w:numPr>
        <w:spacing w:before="60"/>
        <w:contextualSpacing/>
        <w:jc w:val="left"/>
        <w:rPr>
          <w:rFonts w:ascii="Calibri" w:hAnsi="Calibri"/>
          <w:b w:val="0"/>
          <w:sz w:val="22"/>
          <w:szCs w:val="22"/>
        </w:rPr>
      </w:pPr>
      <w:r w:rsidRPr="00032776">
        <w:rPr>
          <w:rFonts w:ascii="Calibri" w:hAnsi="Calibri"/>
          <w:b w:val="0"/>
          <w:sz w:val="22"/>
        </w:rPr>
        <w:t xml:space="preserve">Definition of objectives and results, taking </w:t>
      </w:r>
      <w:r>
        <w:rPr>
          <w:rFonts w:ascii="Calibri" w:hAnsi="Calibri"/>
          <w:b w:val="0"/>
          <w:sz w:val="22"/>
        </w:rPr>
        <w:t xml:space="preserve">account of </w:t>
      </w:r>
      <w:r w:rsidRPr="00032776">
        <w:rPr>
          <w:rFonts w:ascii="Calibri" w:hAnsi="Calibri"/>
          <w:b w:val="0"/>
          <w:sz w:val="22"/>
        </w:rPr>
        <w:t xml:space="preserve">previous evaluations in the </w:t>
      </w:r>
      <w:r>
        <w:rPr>
          <w:rFonts w:ascii="Calibri" w:hAnsi="Calibri"/>
          <w:b w:val="0"/>
          <w:sz w:val="22"/>
        </w:rPr>
        <w:t>same area</w:t>
      </w:r>
      <w:r w:rsidRPr="00032776">
        <w:rPr>
          <w:rFonts w:ascii="Calibri" w:hAnsi="Calibri"/>
          <w:b w:val="0"/>
          <w:sz w:val="22"/>
        </w:rPr>
        <w:t>.</w:t>
      </w:r>
    </w:p>
    <w:p w14:paraId="2D8B8E40" w14:textId="77777777" w:rsidR="005A0242" w:rsidRPr="00B8464D" w:rsidRDefault="005A0242" w:rsidP="000B7AA6">
      <w:pPr>
        <w:pStyle w:val="Title"/>
        <w:numPr>
          <w:ilvl w:val="0"/>
          <w:numId w:val="4"/>
        </w:numPr>
        <w:spacing w:before="60"/>
        <w:contextualSpacing/>
        <w:jc w:val="left"/>
        <w:rPr>
          <w:rFonts w:ascii="Calibri" w:hAnsi="Calibri"/>
          <w:b w:val="0"/>
          <w:sz w:val="22"/>
          <w:szCs w:val="22"/>
        </w:rPr>
      </w:pPr>
      <w:r>
        <w:rPr>
          <w:rFonts w:ascii="Calibri" w:hAnsi="Calibri"/>
          <w:b w:val="0"/>
          <w:sz w:val="22"/>
        </w:rPr>
        <w:t>I</w:t>
      </w:r>
      <w:r w:rsidRPr="00032776">
        <w:rPr>
          <w:rFonts w:ascii="Calibri" w:hAnsi="Calibri"/>
          <w:b w:val="0"/>
          <w:sz w:val="22"/>
        </w:rPr>
        <w:t>dentification of a credible implementation strategy and sequential operation of activities</w:t>
      </w:r>
    </w:p>
    <w:p w14:paraId="5DDCE991" w14:textId="77777777" w:rsidR="005A0242" w:rsidRDefault="005A0242" w:rsidP="000B7AA6">
      <w:pPr>
        <w:numPr>
          <w:ilvl w:val="0"/>
          <w:numId w:val="4"/>
        </w:numPr>
        <w:spacing w:before="60" w:after="0" w:line="240" w:lineRule="auto"/>
        <w:contextualSpacing/>
      </w:pPr>
      <w:r>
        <w:t xml:space="preserve">Partnership with, and capacity development of local women’s organizations. Joint projects are strongly encouraged. </w:t>
      </w:r>
    </w:p>
    <w:p w14:paraId="7EF941FA" w14:textId="77777777" w:rsidR="005A0242" w:rsidRDefault="005A0242" w:rsidP="000B7AA6">
      <w:pPr>
        <w:numPr>
          <w:ilvl w:val="0"/>
          <w:numId w:val="4"/>
        </w:numPr>
        <w:spacing w:before="60" w:after="0" w:line="240" w:lineRule="auto"/>
        <w:contextualSpacing/>
      </w:pPr>
      <w:r w:rsidRPr="00020F7B">
        <w:t xml:space="preserve">Identification of risks and </w:t>
      </w:r>
      <w:r>
        <w:t>appropriate mitigation measures</w:t>
      </w:r>
      <w:r w:rsidR="00AD4576">
        <w:t>.</w:t>
      </w:r>
    </w:p>
    <w:p w14:paraId="3B652003" w14:textId="77777777" w:rsidR="005A0242" w:rsidRDefault="005A0242" w:rsidP="000B7AA6">
      <w:pPr>
        <w:numPr>
          <w:ilvl w:val="0"/>
          <w:numId w:val="4"/>
        </w:numPr>
        <w:spacing w:before="60" w:after="0" w:line="240" w:lineRule="auto"/>
        <w:contextualSpacing/>
      </w:pPr>
      <w:r>
        <w:t>Complementarity with other Funds and Programmes</w:t>
      </w:r>
      <w:r w:rsidR="00AD4576">
        <w:t>.</w:t>
      </w:r>
    </w:p>
    <w:p w14:paraId="3189E73C" w14:textId="77777777" w:rsidR="00E72F28" w:rsidRDefault="00E72F28" w:rsidP="000B7AA6">
      <w:pPr>
        <w:spacing w:before="60" w:after="0" w:line="240" w:lineRule="auto"/>
        <w:ind w:left="1080"/>
        <w:contextualSpacing/>
      </w:pPr>
    </w:p>
    <w:p w14:paraId="1278C1F7" w14:textId="77777777" w:rsidR="00E72F28" w:rsidRPr="00032776" w:rsidRDefault="00E72F28" w:rsidP="000B7AA6">
      <w:pPr>
        <w:spacing w:after="0"/>
        <w:ind w:firstLine="720"/>
        <w:contextualSpacing/>
        <w:rPr>
          <w:u w:val="single"/>
        </w:rPr>
      </w:pPr>
      <w:r w:rsidRPr="00032776">
        <w:rPr>
          <w:u w:val="single"/>
        </w:rPr>
        <w:t xml:space="preserve">Viability and </w:t>
      </w:r>
      <w:r>
        <w:rPr>
          <w:u w:val="single"/>
        </w:rPr>
        <w:t>n</w:t>
      </w:r>
      <w:r w:rsidRPr="00032776">
        <w:rPr>
          <w:u w:val="single"/>
        </w:rPr>
        <w:t xml:space="preserve">ational </w:t>
      </w:r>
      <w:r>
        <w:rPr>
          <w:u w:val="single"/>
        </w:rPr>
        <w:t>o</w:t>
      </w:r>
      <w:r w:rsidRPr="00032776">
        <w:rPr>
          <w:u w:val="single"/>
        </w:rPr>
        <w:t>wnership</w:t>
      </w:r>
      <w:r w:rsidRPr="00F51FA5">
        <w:t>:</w:t>
      </w:r>
    </w:p>
    <w:p w14:paraId="3DB5DA0D" w14:textId="77777777" w:rsidR="00E72F28" w:rsidRPr="00032776" w:rsidRDefault="00E72F28" w:rsidP="000B7AA6">
      <w:pPr>
        <w:pStyle w:val="Title"/>
        <w:numPr>
          <w:ilvl w:val="0"/>
          <w:numId w:val="7"/>
        </w:numPr>
        <w:spacing w:before="60"/>
        <w:contextualSpacing/>
        <w:jc w:val="left"/>
        <w:rPr>
          <w:rFonts w:ascii="Calibri" w:hAnsi="Calibri"/>
          <w:b w:val="0"/>
          <w:sz w:val="22"/>
          <w:szCs w:val="22"/>
        </w:rPr>
      </w:pPr>
      <w:r w:rsidRPr="00032776">
        <w:rPr>
          <w:rFonts w:ascii="Calibri" w:hAnsi="Calibri"/>
          <w:b w:val="0"/>
          <w:sz w:val="22"/>
        </w:rPr>
        <w:t>Promotion of national and local ownership in developing and establishing activities, and specific objectives to build the capacities of national and local players</w:t>
      </w:r>
      <w:r>
        <w:rPr>
          <w:rFonts w:ascii="Calibri" w:hAnsi="Calibri"/>
          <w:b w:val="0"/>
          <w:sz w:val="22"/>
        </w:rPr>
        <w:t>.</w:t>
      </w:r>
    </w:p>
    <w:p w14:paraId="047AFCD8" w14:textId="77777777" w:rsidR="00E72F28" w:rsidRPr="00032776" w:rsidRDefault="00E72F28" w:rsidP="000B7AA6">
      <w:pPr>
        <w:pStyle w:val="Title"/>
        <w:numPr>
          <w:ilvl w:val="0"/>
          <w:numId w:val="7"/>
        </w:numPr>
        <w:spacing w:before="60"/>
        <w:contextualSpacing/>
        <w:jc w:val="left"/>
        <w:rPr>
          <w:rFonts w:ascii="Calibri" w:hAnsi="Calibri"/>
          <w:b w:val="0"/>
          <w:sz w:val="22"/>
          <w:szCs w:val="22"/>
        </w:rPr>
      </w:pPr>
      <w:r>
        <w:rPr>
          <w:rFonts w:ascii="Calibri" w:hAnsi="Calibri"/>
          <w:b w:val="0"/>
          <w:sz w:val="22"/>
        </w:rPr>
        <w:t>Implementation of p</w:t>
      </w:r>
      <w:r w:rsidRPr="00032776">
        <w:rPr>
          <w:rFonts w:ascii="Calibri" w:hAnsi="Calibri"/>
          <w:b w:val="0"/>
          <w:sz w:val="22"/>
        </w:rPr>
        <w:t xml:space="preserve">artnership with national </w:t>
      </w:r>
      <w:r>
        <w:rPr>
          <w:rFonts w:ascii="Calibri" w:hAnsi="Calibri"/>
          <w:b w:val="0"/>
          <w:sz w:val="22"/>
        </w:rPr>
        <w:t>CSOs.</w:t>
      </w:r>
    </w:p>
    <w:p w14:paraId="7D428EF5" w14:textId="77777777" w:rsidR="00E72F28" w:rsidRPr="00032776" w:rsidRDefault="00E72F28" w:rsidP="000B7AA6">
      <w:pPr>
        <w:numPr>
          <w:ilvl w:val="0"/>
          <w:numId w:val="7"/>
        </w:numPr>
        <w:autoSpaceDE w:val="0"/>
        <w:autoSpaceDN w:val="0"/>
        <w:adjustRightInd w:val="0"/>
        <w:spacing w:after="0" w:line="240" w:lineRule="auto"/>
        <w:contextualSpacing/>
      </w:pPr>
      <w:r w:rsidRPr="00032776">
        <w:t>Viability of the programme beyond the financing period and (where applicable)</w:t>
      </w:r>
      <w:r>
        <w:t>,</w:t>
      </w:r>
      <w:r w:rsidRPr="00032776">
        <w:t xml:space="preserve"> how to reproduce it and improve it over time</w:t>
      </w:r>
      <w:r>
        <w:t>.</w:t>
      </w:r>
    </w:p>
    <w:p w14:paraId="7D733873" w14:textId="77777777" w:rsidR="000A10B5" w:rsidRDefault="000A10B5" w:rsidP="003E106B">
      <w:pPr>
        <w:spacing w:after="0"/>
      </w:pPr>
    </w:p>
    <w:p w14:paraId="48497FE6" w14:textId="77777777" w:rsidR="00537365" w:rsidRPr="005A0242" w:rsidRDefault="00537365" w:rsidP="000B7AA6">
      <w:pPr>
        <w:spacing w:after="0"/>
        <w:ind w:left="360"/>
      </w:pPr>
    </w:p>
    <w:p w14:paraId="46BC7897" w14:textId="77777777" w:rsidR="00E73428" w:rsidRPr="00424263" w:rsidRDefault="00E73428" w:rsidP="00424263">
      <w:pPr>
        <w:pStyle w:val="ListParagraph"/>
        <w:numPr>
          <w:ilvl w:val="0"/>
          <w:numId w:val="21"/>
        </w:numPr>
        <w:spacing w:after="0"/>
        <w:rPr>
          <w:b/>
        </w:rPr>
      </w:pPr>
      <w:r w:rsidRPr="00424263">
        <w:rPr>
          <w:b/>
        </w:rPr>
        <w:t>Useful Resources</w:t>
      </w:r>
    </w:p>
    <w:p w14:paraId="476B111F" w14:textId="77777777" w:rsidR="00B00CA8" w:rsidRDefault="00B00CA8" w:rsidP="000B7AA6">
      <w:pPr>
        <w:spacing w:after="0"/>
        <w:ind w:left="360"/>
        <w:rPr>
          <w:b/>
        </w:rPr>
      </w:pPr>
    </w:p>
    <w:p w14:paraId="717CAB0D" w14:textId="6734D883" w:rsidR="00B00CA8" w:rsidRDefault="00B00CA8" w:rsidP="000B7AA6">
      <w:pPr>
        <w:pStyle w:val="ListParagraph"/>
        <w:numPr>
          <w:ilvl w:val="0"/>
          <w:numId w:val="10"/>
        </w:numPr>
        <w:spacing w:after="0"/>
      </w:pPr>
      <w:r>
        <w:t xml:space="preserve">The </w:t>
      </w:r>
      <w:r w:rsidR="001D584D">
        <w:t>Women, Peace and Humanitarian Fund</w:t>
      </w:r>
      <w:r>
        <w:t xml:space="preserve"> Operations Manual</w:t>
      </w:r>
    </w:p>
    <w:p w14:paraId="56BAF4ED" w14:textId="716315BE" w:rsidR="00E4104B" w:rsidRDefault="00E4104B" w:rsidP="000B7AA6">
      <w:pPr>
        <w:pStyle w:val="ListParagraph"/>
        <w:numPr>
          <w:ilvl w:val="0"/>
          <w:numId w:val="10"/>
        </w:numPr>
        <w:spacing w:after="0"/>
      </w:pPr>
      <w:r>
        <w:t xml:space="preserve">The </w:t>
      </w:r>
      <w:r w:rsidR="001D584D">
        <w:t xml:space="preserve">WPHF’s </w:t>
      </w:r>
      <w:r>
        <w:t>2-pager</w:t>
      </w:r>
    </w:p>
    <w:p w14:paraId="5D5314D1" w14:textId="01461968" w:rsidR="00B00CA8" w:rsidRDefault="00B00CA8" w:rsidP="000B7AA6">
      <w:pPr>
        <w:pStyle w:val="ListParagraph"/>
        <w:numPr>
          <w:ilvl w:val="0"/>
          <w:numId w:val="10"/>
        </w:numPr>
        <w:spacing w:after="0"/>
      </w:pPr>
      <w:r>
        <w:t xml:space="preserve">The </w:t>
      </w:r>
      <w:r w:rsidR="00E4104B">
        <w:t xml:space="preserve"> </w:t>
      </w:r>
      <w:r w:rsidR="001D584D">
        <w:t xml:space="preserve">WPHF’s </w:t>
      </w:r>
      <w:r w:rsidR="00E4104B">
        <w:t xml:space="preserve">page on the </w:t>
      </w:r>
      <w:r>
        <w:t>Multi-Partner Trust Fund Office</w:t>
      </w:r>
      <w:r w:rsidR="00E4104B">
        <w:t>’s Gateway</w:t>
      </w:r>
      <w:r>
        <w:t xml:space="preserve">: </w:t>
      </w:r>
      <w:hyperlink r:id="rId10" w:history="1">
        <w:r w:rsidR="00B4118D" w:rsidRPr="00E33DC1">
          <w:rPr>
            <w:rStyle w:val="Hyperlink"/>
          </w:rPr>
          <w:t>http://mptf.undp.org/factsheet/fund/GAI00</w:t>
        </w:r>
      </w:hyperlink>
    </w:p>
    <w:p w14:paraId="57528545" w14:textId="79495629" w:rsidR="009C018C" w:rsidRDefault="009C018C" w:rsidP="000B7AA6">
      <w:pPr>
        <w:pStyle w:val="ListParagraph"/>
        <w:numPr>
          <w:ilvl w:val="0"/>
          <w:numId w:val="10"/>
        </w:numPr>
        <w:spacing w:after="0"/>
      </w:pPr>
      <w:r>
        <w:t xml:space="preserve">The </w:t>
      </w:r>
      <w:r w:rsidR="001D584D">
        <w:t xml:space="preserve">WPHF’s </w:t>
      </w:r>
      <w:r>
        <w:t xml:space="preserve">Twitter account: </w:t>
      </w:r>
      <w:hyperlink r:id="rId11" w:history="1">
        <w:r w:rsidRPr="0099066B">
          <w:rPr>
            <w:rStyle w:val="Hyperlink"/>
          </w:rPr>
          <w:t>@AcceleratePeace</w:t>
        </w:r>
      </w:hyperlink>
    </w:p>
    <w:p w14:paraId="13CF7EC3" w14:textId="77777777" w:rsidR="00B00CA8" w:rsidRDefault="00B00CA8" w:rsidP="000B7AA6">
      <w:pPr>
        <w:pStyle w:val="ListParagraph"/>
        <w:numPr>
          <w:ilvl w:val="0"/>
          <w:numId w:val="10"/>
        </w:numPr>
        <w:spacing w:after="0"/>
      </w:pPr>
      <w:r>
        <w:t xml:space="preserve">M&amp;E and Results Based Management Terms. The OECD/DAC Glossary of Key Terms in Evaluation available in English, French and Spanish. </w:t>
      </w:r>
      <w:hyperlink r:id="rId12" w:history="1">
        <w:r w:rsidRPr="0052712B">
          <w:rPr>
            <w:rStyle w:val="Hyperlink"/>
          </w:rPr>
          <w:t>http://www.oecd.org/dataoecd/29/21/2754804.pdf</w:t>
        </w:r>
      </w:hyperlink>
    </w:p>
    <w:p w14:paraId="1A3EB863" w14:textId="77777777" w:rsidR="00B00CA8" w:rsidRDefault="00B00CA8" w:rsidP="000B7AA6">
      <w:pPr>
        <w:pStyle w:val="ListParagraph"/>
        <w:numPr>
          <w:ilvl w:val="0"/>
          <w:numId w:val="10"/>
        </w:numPr>
        <w:spacing w:after="0"/>
      </w:pPr>
      <w:r>
        <w:t xml:space="preserve">M&amp;E Standards and Guidelines. The United Nations Evaluation Group (UNEG) Standards for Evaluations, available in English, French, Spanish, Arabic and Russian </w:t>
      </w:r>
      <w:hyperlink r:id="rId13" w:history="1">
        <w:r w:rsidRPr="0052712B">
          <w:rPr>
            <w:rStyle w:val="Hyperlink"/>
          </w:rPr>
          <w:t>http://www.uneval.org/papersandpubs/documentdetail.jsp?doc_id=22</w:t>
        </w:r>
      </w:hyperlink>
    </w:p>
    <w:p w14:paraId="7334749F" w14:textId="77777777" w:rsidR="00D618C5" w:rsidRPr="00D618C5" w:rsidRDefault="00D618C5" w:rsidP="000B7AA6">
      <w:pPr>
        <w:pStyle w:val="ListParagraph"/>
        <w:spacing w:after="0"/>
        <w:ind w:left="1440"/>
        <w:rPr>
          <w:vanish/>
          <w:specVanish/>
        </w:rPr>
      </w:pPr>
    </w:p>
    <w:p w14:paraId="3E6ADC9E" w14:textId="77777777" w:rsidR="00D618C5" w:rsidRDefault="00D618C5" w:rsidP="000B7AA6">
      <w:pPr>
        <w:spacing w:after="0"/>
        <w:rPr>
          <w:b/>
          <w:sz w:val="28"/>
          <w:szCs w:val="28"/>
        </w:rPr>
      </w:pPr>
      <w:r>
        <w:rPr>
          <w:b/>
          <w:sz w:val="28"/>
          <w:szCs w:val="28"/>
        </w:rPr>
        <w:t xml:space="preserve"> </w:t>
      </w:r>
    </w:p>
    <w:p w14:paraId="249E5FC2" w14:textId="0D7B699F" w:rsidR="00E7692B" w:rsidRDefault="00D618C5" w:rsidP="000B7AA6">
      <w:pPr>
        <w:spacing w:after="0"/>
        <w:rPr>
          <w:b/>
          <w:sz w:val="28"/>
          <w:szCs w:val="28"/>
        </w:rPr>
      </w:pPr>
      <w:r>
        <w:rPr>
          <w:b/>
          <w:sz w:val="28"/>
          <w:szCs w:val="28"/>
        </w:rPr>
        <w:br w:type="column"/>
      </w:r>
      <w:r w:rsidR="001D584D">
        <w:rPr>
          <w:b/>
          <w:sz w:val="28"/>
          <w:szCs w:val="28"/>
        </w:rPr>
        <w:lastRenderedPageBreak/>
        <w:t>Women, Peace and Humanitarian Fund (WPHF)</w:t>
      </w:r>
    </w:p>
    <w:p w14:paraId="3D508532" w14:textId="77777777" w:rsidR="00E7692B" w:rsidRPr="00454897" w:rsidRDefault="00E7692B" w:rsidP="000B7AA6">
      <w:pPr>
        <w:spacing w:after="0"/>
        <w:rPr>
          <w:b/>
          <w:sz w:val="16"/>
          <w:szCs w:val="16"/>
          <w:lang w:val="fr-FR"/>
        </w:rPr>
      </w:pPr>
    </w:p>
    <w:p w14:paraId="5512AF25" w14:textId="77777777" w:rsidR="00E7692B" w:rsidRPr="00454897" w:rsidRDefault="00E7692B" w:rsidP="000B7AA6">
      <w:pPr>
        <w:spacing w:after="0"/>
        <w:rPr>
          <w:b/>
          <w:sz w:val="24"/>
          <w:szCs w:val="24"/>
          <w:lang w:val="fr-FR"/>
        </w:rPr>
      </w:pPr>
      <w:r w:rsidRPr="00454897">
        <w:rPr>
          <w:b/>
          <w:sz w:val="24"/>
          <w:szCs w:val="24"/>
          <w:lang w:val="fr-FR"/>
        </w:rPr>
        <w:t>Project Document</w:t>
      </w:r>
    </w:p>
    <w:p w14:paraId="48D6126E" w14:textId="77777777" w:rsidR="00E7692B" w:rsidRPr="00454897" w:rsidRDefault="00E7692B" w:rsidP="000B7AA6">
      <w:pPr>
        <w:spacing w:after="0"/>
        <w:rPr>
          <w:i/>
          <w:sz w:val="24"/>
          <w:szCs w:val="24"/>
          <w:lang w:val="fr-FR"/>
        </w:rPr>
      </w:pPr>
      <w:r w:rsidRPr="00454897">
        <w:rPr>
          <w:i/>
          <w:sz w:val="24"/>
          <w:szCs w:val="24"/>
          <w:lang w:val="fr-FR"/>
        </w:rPr>
        <w:t>(Length – 7-10 pages)</w:t>
      </w:r>
    </w:p>
    <w:p w14:paraId="578DE6B1" w14:textId="77777777" w:rsidR="00E7692B" w:rsidRPr="00454897" w:rsidRDefault="00E7692B" w:rsidP="000B7AA6">
      <w:pPr>
        <w:spacing w:after="0"/>
        <w:rPr>
          <w:i/>
          <w:sz w:val="24"/>
          <w:szCs w:val="24"/>
          <w:lang w:val="fr-FR"/>
        </w:rPr>
      </w:pPr>
    </w:p>
    <w:p w14:paraId="79D8013E" w14:textId="77777777" w:rsidR="00E7692B" w:rsidRPr="007636DB" w:rsidRDefault="00E7692B" w:rsidP="000B7AA6">
      <w:pPr>
        <w:pStyle w:val="ListParagraph"/>
        <w:numPr>
          <w:ilvl w:val="0"/>
          <w:numId w:val="14"/>
        </w:numPr>
        <w:spacing w:after="0" w:line="240" w:lineRule="auto"/>
        <w:ind w:left="1077"/>
        <w:rPr>
          <w:b/>
          <w:sz w:val="24"/>
          <w:szCs w:val="24"/>
        </w:rPr>
      </w:pPr>
      <w:r>
        <w:rPr>
          <w:b/>
          <w:sz w:val="24"/>
          <w:szCs w:val="24"/>
        </w:rPr>
        <w:t>Prodoc Cover Page</w:t>
      </w:r>
    </w:p>
    <w:tbl>
      <w:tblPr>
        <w:tblpPr w:leftFromText="180" w:rightFromText="180" w:vertAnchor="text" w:horzAnchor="margin" w:tblpXSpec="center" w:tblpY="490"/>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272"/>
        <w:gridCol w:w="4985"/>
      </w:tblGrid>
      <w:tr w:rsidR="00E7692B" w:rsidRPr="00046D69" w14:paraId="4D0D3B91" w14:textId="77777777" w:rsidTr="00434F65">
        <w:trPr>
          <w:trHeight w:hRule="exact" w:val="1003"/>
        </w:trPr>
        <w:tc>
          <w:tcPr>
            <w:tcW w:w="5096" w:type="dxa"/>
            <w:tcBorders>
              <w:bottom w:val="single" w:sz="4" w:space="0" w:color="auto"/>
            </w:tcBorders>
          </w:tcPr>
          <w:p w14:paraId="6EB4ABC5" w14:textId="77777777" w:rsidR="00E7692B" w:rsidRPr="00046D69" w:rsidRDefault="00E7692B" w:rsidP="000B7AA6">
            <w:pPr>
              <w:rPr>
                <w:b/>
              </w:rPr>
            </w:pPr>
            <w:r w:rsidRPr="00046D69">
              <w:rPr>
                <w:b/>
              </w:rPr>
              <w:t xml:space="preserve">Project Title: </w:t>
            </w:r>
            <w:r w:rsidRPr="00046D69">
              <w:t xml:space="preserve"> </w:t>
            </w:r>
          </w:p>
        </w:tc>
        <w:tc>
          <w:tcPr>
            <w:tcW w:w="272" w:type="dxa"/>
            <w:tcBorders>
              <w:bottom w:val="single" w:sz="4" w:space="0" w:color="auto"/>
            </w:tcBorders>
          </w:tcPr>
          <w:p w14:paraId="242E9556" w14:textId="77777777" w:rsidR="00E7692B" w:rsidRPr="00046D69" w:rsidRDefault="00E7692B" w:rsidP="000B7AA6">
            <w:pPr>
              <w:rPr>
                <w:b/>
              </w:rPr>
            </w:pPr>
          </w:p>
        </w:tc>
        <w:tc>
          <w:tcPr>
            <w:tcW w:w="4985" w:type="dxa"/>
            <w:tcBorders>
              <w:bottom w:val="single" w:sz="4" w:space="0" w:color="auto"/>
            </w:tcBorders>
          </w:tcPr>
          <w:p w14:paraId="2A23C5F5" w14:textId="77777777" w:rsidR="00E7692B" w:rsidRPr="00046D69" w:rsidRDefault="00E7692B" w:rsidP="000B7AA6">
            <w:pPr>
              <w:rPr>
                <w:b/>
              </w:rPr>
            </w:pPr>
            <w:r>
              <w:rPr>
                <w:b/>
              </w:rPr>
              <w:t>PUNO</w:t>
            </w:r>
            <w:r>
              <w:rPr>
                <w:rStyle w:val="FootnoteReference"/>
              </w:rPr>
              <w:footnoteReference w:id="4"/>
            </w:r>
            <w:r w:rsidRPr="00046D69">
              <w:rPr>
                <w:b/>
              </w:rPr>
              <w:t xml:space="preserve">: </w:t>
            </w:r>
          </w:p>
          <w:p w14:paraId="396E06F2" w14:textId="77777777" w:rsidR="00E7692B" w:rsidRPr="00046D69" w:rsidRDefault="00E7692B" w:rsidP="000B7AA6">
            <w:pPr>
              <w:rPr>
                <w:b/>
              </w:rPr>
            </w:pPr>
          </w:p>
        </w:tc>
      </w:tr>
      <w:tr w:rsidR="00E7692B" w:rsidRPr="00046D69" w14:paraId="3CAAB994" w14:textId="77777777" w:rsidTr="00434F65">
        <w:trPr>
          <w:cantSplit/>
          <w:trHeight w:val="731"/>
        </w:trPr>
        <w:tc>
          <w:tcPr>
            <w:tcW w:w="5096" w:type="dxa"/>
            <w:vMerge w:val="restart"/>
            <w:tcBorders>
              <w:top w:val="nil"/>
              <w:right w:val="single" w:sz="4" w:space="0" w:color="auto"/>
            </w:tcBorders>
          </w:tcPr>
          <w:p w14:paraId="0FB318B9" w14:textId="77777777" w:rsidR="00E7692B" w:rsidRDefault="00E7692B" w:rsidP="000B7AA6">
            <w:pPr>
              <w:rPr>
                <w:bCs/>
                <w:iCs/>
              </w:rPr>
            </w:pPr>
            <w:r w:rsidRPr="00046D69">
              <w:rPr>
                <w:b/>
              </w:rPr>
              <w:t>Project Contact</w:t>
            </w:r>
            <w:r w:rsidRPr="00046D69">
              <w:rPr>
                <w:bCs/>
                <w:iCs/>
              </w:rPr>
              <w:t>:</w:t>
            </w:r>
          </w:p>
          <w:p w14:paraId="64C82C06" w14:textId="77777777" w:rsidR="00E7692B" w:rsidRDefault="00E7692B" w:rsidP="000B7AA6">
            <w:pPr>
              <w:rPr>
                <w:bCs/>
                <w:iCs/>
              </w:rPr>
            </w:pPr>
            <w:r>
              <w:rPr>
                <w:bCs/>
                <w:iCs/>
              </w:rPr>
              <w:t>Name:</w:t>
            </w:r>
          </w:p>
          <w:p w14:paraId="6E4DD292" w14:textId="77777777" w:rsidR="00E7692B" w:rsidRDefault="00E7692B" w:rsidP="000B7AA6">
            <w:pPr>
              <w:rPr>
                <w:bCs/>
                <w:iCs/>
              </w:rPr>
            </w:pPr>
            <w:r>
              <w:rPr>
                <w:bCs/>
                <w:iCs/>
              </w:rPr>
              <w:t>Entity:</w:t>
            </w:r>
          </w:p>
          <w:p w14:paraId="3A941690" w14:textId="77777777" w:rsidR="00E7692B" w:rsidRDefault="00E7692B" w:rsidP="000B7AA6">
            <w:pPr>
              <w:rPr>
                <w:bCs/>
                <w:iCs/>
              </w:rPr>
            </w:pPr>
            <w:r>
              <w:rPr>
                <w:bCs/>
                <w:iCs/>
              </w:rPr>
              <w:t>Title:</w:t>
            </w:r>
          </w:p>
          <w:p w14:paraId="5E325EF6" w14:textId="77777777" w:rsidR="00E7692B" w:rsidRPr="007F6985" w:rsidRDefault="00E7692B" w:rsidP="000B7AA6">
            <w:pPr>
              <w:rPr>
                <w:bCs/>
                <w:iCs/>
              </w:rPr>
            </w:pPr>
            <w:r>
              <w:rPr>
                <w:bCs/>
                <w:iCs/>
              </w:rPr>
              <w:t>Email:</w:t>
            </w:r>
          </w:p>
          <w:p w14:paraId="4D71FC9A" w14:textId="77777777" w:rsidR="00E7692B" w:rsidRPr="00122BC9" w:rsidRDefault="00E7692B" w:rsidP="000B7AA6">
            <w:pPr>
              <w:rPr>
                <w:bCs/>
              </w:rPr>
            </w:pPr>
          </w:p>
        </w:tc>
        <w:tc>
          <w:tcPr>
            <w:tcW w:w="272" w:type="dxa"/>
            <w:tcBorders>
              <w:top w:val="nil"/>
              <w:left w:val="single" w:sz="4" w:space="0" w:color="auto"/>
              <w:bottom w:val="single" w:sz="4" w:space="0" w:color="auto"/>
            </w:tcBorders>
          </w:tcPr>
          <w:p w14:paraId="28F475BD" w14:textId="77777777" w:rsidR="00E7692B" w:rsidRPr="00122BC9" w:rsidRDefault="00E7692B" w:rsidP="000B7AA6"/>
        </w:tc>
        <w:tc>
          <w:tcPr>
            <w:tcW w:w="4985" w:type="dxa"/>
            <w:tcBorders>
              <w:bottom w:val="single" w:sz="4" w:space="0" w:color="auto"/>
            </w:tcBorders>
          </w:tcPr>
          <w:p w14:paraId="4555ACAD" w14:textId="77777777" w:rsidR="00E7692B" w:rsidRPr="00046D69" w:rsidRDefault="00E7692B" w:rsidP="000B7AA6">
            <w:pPr>
              <w:rPr>
                <w:b/>
              </w:rPr>
            </w:pPr>
            <w:r w:rsidRPr="00046D69">
              <w:rPr>
                <w:b/>
              </w:rPr>
              <w:t>Implementing Partner(s):</w:t>
            </w:r>
          </w:p>
          <w:p w14:paraId="02CE3A99" w14:textId="77777777" w:rsidR="00E7692B" w:rsidRPr="00046D69" w:rsidRDefault="00E7692B" w:rsidP="000B7AA6">
            <w:pPr>
              <w:rPr>
                <w:b/>
                <w:sz w:val="18"/>
                <w:szCs w:val="18"/>
              </w:rPr>
            </w:pPr>
          </w:p>
        </w:tc>
      </w:tr>
      <w:tr w:rsidR="00E7692B" w:rsidRPr="00046D69" w14:paraId="2638945A" w14:textId="77777777" w:rsidTr="00434F65">
        <w:trPr>
          <w:trHeight w:val="954"/>
        </w:trPr>
        <w:tc>
          <w:tcPr>
            <w:tcW w:w="5096" w:type="dxa"/>
            <w:vMerge/>
            <w:tcBorders>
              <w:right w:val="single" w:sz="4" w:space="0" w:color="auto"/>
            </w:tcBorders>
          </w:tcPr>
          <w:p w14:paraId="7C9E2CDE" w14:textId="77777777" w:rsidR="00E7692B" w:rsidRPr="00046D69" w:rsidRDefault="00E7692B" w:rsidP="000B7AA6">
            <w:pPr>
              <w:rPr>
                <w:i/>
                <w:sz w:val="19"/>
                <w:szCs w:val="19"/>
              </w:rPr>
            </w:pPr>
          </w:p>
        </w:tc>
        <w:tc>
          <w:tcPr>
            <w:tcW w:w="272" w:type="dxa"/>
            <w:tcBorders>
              <w:top w:val="single" w:sz="4" w:space="0" w:color="auto"/>
              <w:left w:val="single" w:sz="4" w:space="0" w:color="auto"/>
              <w:bottom w:val="single" w:sz="4" w:space="0" w:color="auto"/>
            </w:tcBorders>
          </w:tcPr>
          <w:p w14:paraId="5B2C4A24" w14:textId="77777777" w:rsidR="00E7692B" w:rsidRPr="00046D69" w:rsidRDefault="00E7692B" w:rsidP="000B7AA6">
            <w:pPr>
              <w:rPr>
                <w:b/>
                <w:bCs/>
              </w:rPr>
            </w:pPr>
          </w:p>
        </w:tc>
        <w:tc>
          <w:tcPr>
            <w:tcW w:w="4985" w:type="dxa"/>
            <w:tcBorders>
              <w:top w:val="single" w:sz="4" w:space="0" w:color="auto"/>
              <w:bottom w:val="single" w:sz="4" w:space="0" w:color="auto"/>
            </w:tcBorders>
          </w:tcPr>
          <w:p w14:paraId="4D252CE8" w14:textId="77777777" w:rsidR="00E7692B" w:rsidRPr="00046D69" w:rsidRDefault="00E7692B" w:rsidP="000B7AA6">
            <w:r>
              <w:rPr>
                <w:b/>
              </w:rPr>
              <w:t>Country</w:t>
            </w:r>
            <w:r w:rsidRPr="00046D69">
              <w:rPr>
                <w:b/>
              </w:rPr>
              <w:t xml:space="preserve">: </w:t>
            </w:r>
          </w:p>
        </w:tc>
      </w:tr>
      <w:tr w:rsidR="00E7692B" w:rsidRPr="00046D69" w14:paraId="25707962" w14:textId="77777777" w:rsidTr="00434F65">
        <w:trPr>
          <w:cantSplit/>
          <w:trHeight w:val="1549"/>
        </w:trPr>
        <w:tc>
          <w:tcPr>
            <w:tcW w:w="5096" w:type="dxa"/>
            <w:vMerge/>
            <w:tcBorders>
              <w:right w:val="single" w:sz="4" w:space="0" w:color="auto"/>
            </w:tcBorders>
          </w:tcPr>
          <w:p w14:paraId="63A012E4" w14:textId="77777777" w:rsidR="00E7692B" w:rsidRPr="00046D69" w:rsidRDefault="00E7692B" w:rsidP="000B7AA6"/>
        </w:tc>
        <w:tc>
          <w:tcPr>
            <w:tcW w:w="272" w:type="dxa"/>
            <w:vMerge w:val="restart"/>
            <w:tcBorders>
              <w:top w:val="single" w:sz="4" w:space="0" w:color="auto"/>
              <w:right w:val="single" w:sz="4" w:space="0" w:color="auto"/>
            </w:tcBorders>
          </w:tcPr>
          <w:p w14:paraId="0F0198A3" w14:textId="77777777" w:rsidR="00E7692B" w:rsidRPr="00046D69" w:rsidRDefault="00E7692B" w:rsidP="000B7AA6"/>
        </w:tc>
        <w:tc>
          <w:tcPr>
            <w:tcW w:w="4985" w:type="dxa"/>
            <w:tcBorders>
              <w:top w:val="single" w:sz="4" w:space="0" w:color="auto"/>
              <w:bottom w:val="single" w:sz="4" w:space="0" w:color="auto"/>
              <w:right w:val="single" w:sz="4" w:space="0" w:color="auto"/>
            </w:tcBorders>
          </w:tcPr>
          <w:p w14:paraId="4B495698" w14:textId="77777777" w:rsidR="00E7692B" w:rsidRPr="00046D69" w:rsidRDefault="00E7692B" w:rsidP="000B7AA6">
            <w:r w:rsidRPr="00046D69">
              <w:rPr>
                <w:b/>
              </w:rPr>
              <w:t xml:space="preserve">Total Project Cost: </w:t>
            </w:r>
          </w:p>
          <w:p w14:paraId="578BD398" w14:textId="6C2E7912" w:rsidR="00E7692B" w:rsidRPr="00046D69" w:rsidRDefault="001D584D" w:rsidP="000B7AA6">
            <w:r>
              <w:rPr>
                <w:b/>
              </w:rPr>
              <w:lastRenderedPageBreak/>
              <w:t xml:space="preserve">WPHF’s </w:t>
            </w:r>
            <w:r w:rsidR="00E7692B">
              <w:rPr>
                <w:b/>
              </w:rPr>
              <w:t>contribution</w:t>
            </w:r>
            <w:r w:rsidR="00E7692B">
              <w:rPr>
                <w:rStyle w:val="FootnoteReference"/>
              </w:rPr>
              <w:footnoteReference w:id="5"/>
            </w:r>
            <w:r w:rsidR="00E7692B" w:rsidRPr="00046D69">
              <w:rPr>
                <w:b/>
              </w:rPr>
              <w:t>:</w:t>
            </w:r>
            <w:r w:rsidR="00E7692B" w:rsidRPr="00046D69">
              <w:t xml:space="preserve"> </w:t>
            </w:r>
          </w:p>
          <w:p w14:paraId="2A4147E9" w14:textId="77777777" w:rsidR="00E7692B" w:rsidRPr="00046D69" w:rsidRDefault="00E7692B" w:rsidP="000B7AA6">
            <w:pPr>
              <w:rPr>
                <w:b/>
              </w:rPr>
            </w:pPr>
            <w:r>
              <w:rPr>
                <w:b/>
              </w:rPr>
              <w:t>Other contributions:</w:t>
            </w:r>
          </w:p>
        </w:tc>
      </w:tr>
      <w:tr w:rsidR="00E7692B" w:rsidRPr="007F6985" w14:paraId="4EE85DCA" w14:textId="77777777" w:rsidTr="00434F65">
        <w:trPr>
          <w:cantSplit/>
          <w:trHeight w:val="851"/>
        </w:trPr>
        <w:tc>
          <w:tcPr>
            <w:tcW w:w="5096" w:type="dxa"/>
            <w:vMerge/>
            <w:tcBorders>
              <w:bottom w:val="single" w:sz="4" w:space="0" w:color="auto"/>
              <w:right w:val="single" w:sz="4" w:space="0" w:color="auto"/>
            </w:tcBorders>
          </w:tcPr>
          <w:p w14:paraId="66ED5FDE" w14:textId="77777777" w:rsidR="00E7692B" w:rsidRPr="00046D69" w:rsidRDefault="00E7692B" w:rsidP="000B7AA6">
            <w:pPr>
              <w:rPr>
                <w:b/>
                <w:bCs/>
              </w:rPr>
            </w:pPr>
          </w:p>
        </w:tc>
        <w:tc>
          <w:tcPr>
            <w:tcW w:w="272" w:type="dxa"/>
            <w:vMerge/>
            <w:tcBorders>
              <w:bottom w:val="single" w:sz="4" w:space="0" w:color="auto"/>
              <w:right w:val="single" w:sz="4" w:space="0" w:color="auto"/>
            </w:tcBorders>
          </w:tcPr>
          <w:p w14:paraId="3B83BB7D" w14:textId="77777777" w:rsidR="00E7692B" w:rsidRPr="00046D69" w:rsidRDefault="00E7692B" w:rsidP="000B7AA6"/>
        </w:tc>
        <w:tc>
          <w:tcPr>
            <w:tcW w:w="4985" w:type="dxa"/>
            <w:tcBorders>
              <w:top w:val="single" w:sz="4" w:space="0" w:color="auto"/>
              <w:bottom w:val="single" w:sz="4" w:space="0" w:color="auto"/>
              <w:right w:val="single" w:sz="4" w:space="0" w:color="auto"/>
            </w:tcBorders>
          </w:tcPr>
          <w:p w14:paraId="47BC7D35" w14:textId="77777777" w:rsidR="00E7692B" w:rsidRPr="00046D69" w:rsidRDefault="00E7692B" w:rsidP="000B7AA6">
            <w:r w:rsidRPr="00046D69">
              <w:rPr>
                <w:b/>
              </w:rPr>
              <w:t xml:space="preserve">Proposed Project Start Date: </w:t>
            </w:r>
          </w:p>
          <w:p w14:paraId="251C2915" w14:textId="77777777" w:rsidR="00E7692B" w:rsidRPr="00046D69" w:rsidRDefault="00E7692B" w:rsidP="000B7AA6">
            <w:pPr>
              <w:rPr>
                <w:b/>
              </w:rPr>
            </w:pPr>
            <w:r w:rsidRPr="00046D69">
              <w:rPr>
                <w:b/>
              </w:rPr>
              <w:t xml:space="preserve">Proposed Project End Date: </w:t>
            </w:r>
          </w:p>
          <w:p w14:paraId="4460C167" w14:textId="77777777" w:rsidR="00E7692B" w:rsidRPr="00046D69" w:rsidRDefault="00E7692B" w:rsidP="000B7AA6">
            <w:r w:rsidRPr="00046D69">
              <w:rPr>
                <w:b/>
              </w:rPr>
              <w:t>Total duration (in months)</w:t>
            </w:r>
            <w:r>
              <w:rPr>
                <w:rStyle w:val="FootnoteReference"/>
              </w:rPr>
              <w:footnoteReference w:id="6"/>
            </w:r>
            <w:r w:rsidRPr="00046D69">
              <w:rPr>
                <w:b/>
              </w:rPr>
              <w:t xml:space="preserve">: </w:t>
            </w:r>
          </w:p>
        </w:tc>
      </w:tr>
      <w:tr w:rsidR="00E7692B" w:rsidRPr="0064725E" w14:paraId="397547E3" w14:textId="77777777" w:rsidTr="00434F65">
        <w:trPr>
          <w:trHeight w:val="938"/>
        </w:trPr>
        <w:tc>
          <w:tcPr>
            <w:tcW w:w="10353" w:type="dxa"/>
            <w:gridSpan w:val="3"/>
            <w:tcBorders>
              <w:top w:val="single" w:sz="4" w:space="0" w:color="auto"/>
              <w:bottom w:val="single" w:sz="4" w:space="0" w:color="auto"/>
            </w:tcBorders>
          </w:tcPr>
          <w:p w14:paraId="4362F243" w14:textId="4DE7A7E4" w:rsidR="00E7692B" w:rsidRPr="00122BC9" w:rsidRDefault="001D584D" w:rsidP="000B7AA6">
            <w:pPr>
              <w:pStyle w:val="Header"/>
              <w:rPr>
                <w:b/>
                <w:bCs/>
              </w:rPr>
            </w:pPr>
            <w:r>
              <w:rPr>
                <w:rFonts w:asciiTheme="minorHAnsi" w:hAnsiTheme="minorHAnsi"/>
                <w:b/>
                <w:bCs/>
              </w:rPr>
              <w:t>WPHF’s</w:t>
            </w:r>
            <w:r w:rsidRPr="00981280">
              <w:rPr>
                <w:rFonts w:asciiTheme="minorHAnsi" w:hAnsiTheme="minorHAnsi"/>
                <w:b/>
                <w:bCs/>
              </w:rPr>
              <w:t xml:space="preserve"> </w:t>
            </w:r>
            <w:r w:rsidR="00E7692B">
              <w:rPr>
                <w:rFonts w:asciiTheme="minorHAnsi" w:hAnsiTheme="minorHAnsi"/>
                <w:b/>
                <w:bCs/>
              </w:rPr>
              <w:t>Outcome</w:t>
            </w:r>
            <w:r w:rsidR="00E7692B">
              <w:rPr>
                <w:rStyle w:val="FootnoteReference"/>
                <w:rFonts w:asciiTheme="minorHAnsi" w:hAnsiTheme="minorHAnsi"/>
              </w:rPr>
              <w:footnoteReference w:id="7"/>
            </w:r>
            <w:r w:rsidR="00E7692B">
              <w:rPr>
                <w:rFonts w:asciiTheme="minorHAnsi" w:hAnsiTheme="minorHAnsi"/>
                <w:b/>
                <w:bCs/>
              </w:rPr>
              <w:t xml:space="preserve"> the project is contributing to: </w:t>
            </w:r>
          </w:p>
          <w:p w14:paraId="45F4D30D" w14:textId="77777777" w:rsidR="00E7692B" w:rsidRDefault="00E7692B" w:rsidP="000B7AA6">
            <w:pPr>
              <w:spacing w:after="0" w:line="240" w:lineRule="auto"/>
            </w:pPr>
          </w:p>
          <w:p w14:paraId="5C5163FA" w14:textId="77777777" w:rsidR="00E7692B" w:rsidRPr="00420C5A" w:rsidRDefault="00E7692B" w:rsidP="000B7AA6">
            <w:pPr>
              <w:spacing w:after="0" w:line="240" w:lineRule="auto"/>
            </w:pPr>
          </w:p>
        </w:tc>
      </w:tr>
      <w:tr w:rsidR="00E7692B" w:rsidRPr="0064725E" w14:paraId="17BBD33D" w14:textId="77777777" w:rsidTr="00434F65">
        <w:trPr>
          <w:trHeight w:val="937"/>
        </w:trPr>
        <w:tc>
          <w:tcPr>
            <w:tcW w:w="10353" w:type="dxa"/>
            <w:gridSpan w:val="3"/>
            <w:tcBorders>
              <w:top w:val="single" w:sz="4" w:space="0" w:color="auto"/>
              <w:bottom w:val="single" w:sz="4" w:space="0" w:color="auto"/>
            </w:tcBorders>
          </w:tcPr>
          <w:p w14:paraId="63538FAD" w14:textId="4B20B583" w:rsidR="00E7692B" w:rsidRPr="006D3630" w:rsidRDefault="001D584D" w:rsidP="000B7AA6">
            <w:pPr>
              <w:pStyle w:val="Header"/>
              <w:rPr>
                <w:rFonts w:asciiTheme="minorHAnsi" w:hAnsiTheme="minorHAnsi"/>
                <w:b/>
                <w:bCs/>
                <w:lang w:val="en-US"/>
              </w:rPr>
            </w:pPr>
            <w:r>
              <w:rPr>
                <w:rFonts w:asciiTheme="minorHAnsi" w:hAnsiTheme="minorHAnsi"/>
                <w:b/>
                <w:bCs/>
                <w:lang w:val="en-US"/>
              </w:rPr>
              <w:t xml:space="preserve">WPHF’s </w:t>
            </w:r>
            <w:r w:rsidR="00E7692B">
              <w:rPr>
                <w:rFonts w:asciiTheme="minorHAnsi" w:hAnsiTheme="minorHAnsi"/>
                <w:b/>
                <w:bCs/>
                <w:lang w:val="en-US"/>
              </w:rPr>
              <w:t>Outcome indicator</w:t>
            </w:r>
            <w:r w:rsidR="00E7692B">
              <w:rPr>
                <w:rStyle w:val="FootnoteReference"/>
                <w:rFonts w:asciiTheme="minorHAnsi" w:hAnsiTheme="minorHAnsi"/>
                <w:lang w:val="en-US"/>
              </w:rPr>
              <w:footnoteReference w:id="8"/>
            </w:r>
            <w:r w:rsidR="00E7692B">
              <w:rPr>
                <w:rFonts w:asciiTheme="minorHAnsi" w:hAnsiTheme="minorHAnsi"/>
                <w:b/>
                <w:bCs/>
                <w:lang w:val="en-US"/>
              </w:rPr>
              <w:t xml:space="preserve"> the project will be reporting on:</w:t>
            </w:r>
          </w:p>
        </w:tc>
      </w:tr>
    </w:tbl>
    <w:p w14:paraId="1BA39A83" w14:textId="77777777" w:rsidR="00E7692B" w:rsidRPr="006D3630" w:rsidRDefault="00E7692B" w:rsidP="000B7AA6">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rPr>
          <w:b/>
          <w:bCs/>
          <w:sz w:val="28"/>
          <w:szCs w:val="28"/>
        </w:rPr>
      </w:pPr>
    </w:p>
    <w:p w14:paraId="6E6B54C6" w14:textId="77777777" w:rsidR="00E7692B" w:rsidRPr="006D3630" w:rsidRDefault="00E7692B" w:rsidP="000B7AA6">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rPr>
          <w:b/>
          <w:bCs/>
          <w:sz w:val="28"/>
          <w:szCs w:val="28"/>
        </w:rPr>
      </w:pPr>
    </w:p>
    <w:tbl>
      <w:tblPr>
        <w:tblpPr w:leftFromText="180" w:rightFromText="180" w:vertAnchor="text" w:horzAnchor="margin" w:tblpXSpec="center" w:tblpY="450"/>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672"/>
      </w:tblGrid>
      <w:tr w:rsidR="00E7692B" w:rsidRPr="0064725E" w14:paraId="6A8B9849" w14:textId="77777777" w:rsidTr="00434F65">
        <w:tc>
          <w:tcPr>
            <w:tcW w:w="5000" w:type="pct"/>
            <w:gridSpan w:val="2"/>
            <w:tcBorders>
              <w:top w:val="single" w:sz="4" w:space="0" w:color="auto"/>
              <w:left w:val="single" w:sz="4" w:space="0" w:color="auto"/>
              <w:bottom w:val="single" w:sz="4" w:space="0" w:color="auto"/>
              <w:right w:val="single" w:sz="4" w:space="0" w:color="auto"/>
            </w:tcBorders>
          </w:tcPr>
          <w:p w14:paraId="26A0312F" w14:textId="77777777" w:rsidR="00E7692B" w:rsidRPr="002E01BE" w:rsidRDefault="00E7692B" w:rsidP="000B7AA6">
            <w:pPr>
              <w:rPr>
                <w:i/>
              </w:rPr>
            </w:pPr>
            <w:r>
              <w:rPr>
                <w:b/>
              </w:rPr>
              <w:t>PUNO(s)</w:t>
            </w:r>
            <w:r>
              <w:rPr>
                <w:rStyle w:val="FootnoteReference"/>
              </w:rPr>
              <w:footnoteReference w:id="9"/>
            </w:r>
            <w:r>
              <w:rPr>
                <w:b/>
              </w:rPr>
              <w:t xml:space="preserve"> and Implementing Partners</w:t>
            </w:r>
          </w:p>
        </w:tc>
      </w:tr>
      <w:tr w:rsidR="00E7692B" w:rsidRPr="002E01BE" w14:paraId="028B39CF" w14:textId="77777777" w:rsidTr="00434F65">
        <w:tc>
          <w:tcPr>
            <w:tcW w:w="2543" w:type="pct"/>
            <w:tcBorders>
              <w:top w:val="single" w:sz="4" w:space="0" w:color="auto"/>
              <w:left w:val="single" w:sz="4" w:space="0" w:color="auto"/>
              <w:bottom w:val="single" w:sz="4" w:space="0" w:color="auto"/>
              <w:right w:val="single" w:sz="4" w:space="0" w:color="auto"/>
            </w:tcBorders>
            <w:hideMark/>
          </w:tcPr>
          <w:p w14:paraId="085E1BEA" w14:textId="77777777" w:rsidR="00E7692B" w:rsidRDefault="00E7692B" w:rsidP="000B7AA6">
            <w:pPr>
              <w:rPr>
                <w:i/>
              </w:rPr>
            </w:pPr>
            <w:r>
              <w:rPr>
                <w:i/>
              </w:rPr>
              <w:t>Name of PUNO</w:t>
            </w:r>
            <w:r>
              <w:rPr>
                <w:rStyle w:val="FootnoteReference"/>
              </w:rPr>
              <w:footnoteReference w:id="10"/>
            </w:r>
            <w:r w:rsidRPr="007636DB">
              <w:rPr>
                <w:i/>
              </w:rPr>
              <w:t xml:space="preserve"> </w:t>
            </w:r>
            <w:r>
              <w:rPr>
                <w:i/>
              </w:rPr>
              <w:t xml:space="preserve"> </w:t>
            </w:r>
          </w:p>
          <w:p w14:paraId="1D6188FF" w14:textId="77777777" w:rsidR="00E7692B" w:rsidRPr="007636DB" w:rsidRDefault="00E7692B" w:rsidP="000B7AA6">
            <w:pPr>
              <w:rPr>
                <w:i/>
              </w:rPr>
            </w:pPr>
            <w:r w:rsidRPr="007636DB">
              <w:rPr>
                <w:i/>
              </w:rPr>
              <w:t xml:space="preserve">Name of </w:t>
            </w:r>
            <w:r>
              <w:rPr>
                <w:i/>
              </w:rPr>
              <w:t>PUNO</w:t>
            </w:r>
            <w:r w:rsidRPr="007636DB">
              <w:rPr>
                <w:i/>
              </w:rPr>
              <w:t xml:space="preserve"> Representative </w:t>
            </w:r>
          </w:p>
          <w:p w14:paraId="41D15FD3" w14:textId="77777777" w:rsidR="00E7692B" w:rsidRPr="007636DB" w:rsidRDefault="00E7692B" w:rsidP="000B7AA6">
            <w:pPr>
              <w:rPr>
                <w:i/>
              </w:rPr>
            </w:pPr>
            <w:r w:rsidRPr="007636DB">
              <w:rPr>
                <w:i/>
              </w:rPr>
              <w:t>Title</w:t>
            </w:r>
          </w:p>
          <w:p w14:paraId="1855FC8B" w14:textId="77777777" w:rsidR="00E7692B" w:rsidRPr="007636DB" w:rsidRDefault="00E7692B" w:rsidP="000B7AA6">
            <w:pPr>
              <w:rPr>
                <w:i/>
              </w:rPr>
            </w:pPr>
            <w:r w:rsidRPr="007636DB">
              <w:rPr>
                <w:i/>
              </w:rPr>
              <w:t>Signature</w:t>
            </w:r>
          </w:p>
          <w:p w14:paraId="35C620A3" w14:textId="77777777" w:rsidR="00E7692B" w:rsidRDefault="00E7692B" w:rsidP="000B7AA6">
            <w:pPr>
              <w:rPr>
                <w:i/>
              </w:rPr>
            </w:pPr>
            <w:r w:rsidRPr="007636DB">
              <w:rPr>
                <w:i/>
              </w:rPr>
              <w:t>Date &amp; Seal</w:t>
            </w:r>
          </w:p>
          <w:p w14:paraId="0CDED347" w14:textId="77777777" w:rsidR="00E7692B" w:rsidRDefault="00E7692B" w:rsidP="000B7AA6">
            <w:pPr>
              <w:rPr>
                <w:i/>
              </w:rPr>
            </w:pPr>
          </w:p>
          <w:p w14:paraId="5B5BF7E6" w14:textId="77777777" w:rsidR="00E7692B" w:rsidRPr="00250E1A" w:rsidRDefault="00E7692B" w:rsidP="000B7AA6">
            <w:pPr>
              <w:rPr>
                <w:i/>
              </w:rPr>
            </w:pPr>
          </w:p>
        </w:tc>
        <w:tc>
          <w:tcPr>
            <w:tcW w:w="2457" w:type="pct"/>
            <w:tcBorders>
              <w:top w:val="single" w:sz="4" w:space="0" w:color="auto"/>
              <w:left w:val="single" w:sz="4" w:space="0" w:color="auto"/>
              <w:bottom w:val="single" w:sz="4" w:space="0" w:color="auto"/>
              <w:right w:val="single" w:sz="4" w:space="0" w:color="auto"/>
            </w:tcBorders>
            <w:hideMark/>
          </w:tcPr>
          <w:p w14:paraId="724219BA" w14:textId="77777777" w:rsidR="00E7692B" w:rsidRDefault="00E7692B" w:rsidP="000B7AA6">
            <w:pPr>
              <w:rPr>
                <w:i/>
              </w:rPr>
            </w:pPr>
            <w:r>
              <w:rPr>
                <w:i/>
              </w:rPr>
              <w:t>Name of CSO</w:t>
            </w:r>
            <w:r>
              <w:rPr>
                <w:rStyle w:val="FootnoteReference"/>
              </w:rPr>
              <w:footnoteReference w:id="11"/>
            </w:r>
          </w:p>
          <w:p w14:paraId="6CE1F957" w14:textId="77777777" w:rsidR="00E7692B" w:rsidRPr="007636DB" w:rsidRDefault="00E7692B" w:rsidP="000B7AA6">
            <w:pPr>
              <w:rPr>
                <w:i/>
              </w:rPr>
            </w:pPr>
            <w:r w:rsidRPr="007636DB">
              <w:rPr>
                <w:i/>
              </w:rPr>
              <w:t xml:space="preserve">Name of </w:t>
            </w:r>
            <w:r>
              <w:rPr>
                <w:i/>
              </w:rPr>
              <w:t>CSO Representative</w:t>
            </w:r>
          </w:p>
          <w:p w14:paraId="342779B7" w14:textId="77777777" w:rsidR="00E7692B" w:rsidRPr="007636DB" w:rsidRDefault="00E7692B" w:rsidP="000B7AA6">
            <w:pPr>
              <w:rPr>
                <w:i/>
              </w:rPr>
            </w:pPr>
            <w:r w:rsidRPr="007636DB">
              <w:rPr>
                <w:i/>
              </w:rPr>
              <w:t>Title</w:t>
            </w:r>
          </w:p>
          <w:p w14:paraId="697525BD" w14:textId="77777777" w:rsidR="00E7692B" w:rsidRPr="007636DB" w:rsidRDefault="00E7692B" w:rsidP="000B7AA6">
            <w:pPr>
              <w:rPr>
                <w:i/>
              </w:rPr>
            </w:pPr>
            <w:r w:rsidRPr="007636DB">
              <w:rPr>
                <w:i/>
              </w:rPr>
              <w:t>Signature</w:t>
            </w:r>
          </w:p>
          <w:p w14:paraId="4E35AFB5" w14:textId="77777777" w:rsidR="00E7692B" w:rsidRPr="00420C5A" w:rsidRDefault="00E7692B" w:rsidP="000B7AA6">
            <w:pPr>
              <w:rPr>
                <w:i/>
              </w:rPr>
            </w:pPr>
            <w:r w:rsidRPr="00420C5A">
              <w:rPr>
                <w:i/>
              </w:rPr>
              <w:t>Date &amp; Seal</w:t>
            </w:r>
          </w:p>
          <w:p w14:paraId="7CA289BE" w14:textId="77777777" w:rsidR="00E7692B" w:rsidRPr="002E01BE" w:rsidRDefault="00E7692B" w:rsidP="000B7AA6">
            <w:pPr>
              <w:rPr>
                <w:b/>
              </w:rPr>
            </w:pPr>
          </w:p>
        </w:tc>
      </w:tr>
    </w:tbl>
    <w:p w14:paraId="32357060" w14:textId="77777777" w:rsidR="00E7692B" w:rsidRDefault="00E7692B" w:rsidP="000B7AA6">
      <w:pPr>
        <w:spacing w:after="0"/>
        <w:rPr>
          <w:i/>
          <w:sz w:val="24"/>
          <w:szCs w:val="24"/>
        </w:rPr>
      </w:pPr>
    </w:p>
    <w:p w14:paraId="4724D2DE" w14:textId="77777777" w:rsidR="00E7692B" w:rsidRDefault="00E7692B" w:rsidP="000B7AA6">
      <w:pPr>
        <w:spacing w:after="0"/>
        <w:rPr>
          <w:i/>
          <w:sz w:val="24"/>
          <w:szCs w:val="24"/>
        </w:rPr>
      </w:pPr>
    </w:p>
    <w:p w14:paraId="6ABA5DC5" w14:textId="77777777" w:rsidR="00E7692B" w:rsidRDefault="00E7692B" w:rsidP="000B7AA6">
      <w:pPr>
        <w:pStyle w:val="ListParagraph"/>
        <w:spacing w:after="0"/>
        <w:ind w:left="1080"/>
        <w:rPr>
          <w:b/>
          <w:sz w:val="24"/>
          <w:szCs w:val="24"/>
        </w:rPr>
      </w:pPr>
    </w:p>
    <w:p w14:paraId="0AAC4794" w14:textId="77777777" w:rsidR="00E7692B" w:rsidRDefault="00E7692B" w:rsidP="000B7AA6">
      <w:pPr>
        <w:pStyle w:val="ListParagraph"/>
        <w:numPr>
          <w:ilvl w:val="0"/>
          <w:numId w:val="14"/>
        </w:numPr>
        <w:spacing w:after="0"/>
        <w:rPr>
          <w:b/>
          <w:sz w:val="24"/>
          <w:szCs w:val="24"/>
        </w:rPr>
      </w:pPr>
      <w:r w:rsidRPr="000F4A61">
        <w:rPr>
          <w:b/>
          <w:sz w:val="24"/>
          <w:szCs w:val="24"/>
        </w:rPr>
        <w:t xml:space="preserve">Executive Summary </w:t>
      </w:r>
    </w:p>
    <w:p w14:paraId="0E42B9A8" w14:textId="77777777" w:rsidR="00E7692B" w:rsidRDefault="00E7692B" w:rsidP="000B7AA6">
      <w:pPr>
        <w:spacing w:after="0"/>
        <w:ind w:left="360"/>
        <w:rPr>
          <w:b/>
          <w:sz w:val="24"/>
          <w:szCs w:val="24"/>
        </w:rPr>
      </w:pPr>
    </w:p>
    <w:p w14:paraId="30D9210C" w14:textId="77777777" w:rsidR="00E7692B" w:rsidRPr="000F4A61" w:rsidRDefault="00E7692B" w:rsidP="000B7AA6">
      <w:pPr>
        <w:rPr>
          <w:rFonts w:eastAsia="SimSun"/>
        </w:rPr>
      </w:pPr>
      <w:r w:rsidRPr="000F4A61">
        <w:rPr>
          <w:rFonts w:eastAsia="SimSun"/>
        </w:rPr>
        <w:lastRenderedPageBreak/>
        <w:t>The executive summary provides</w:t>
      </w:r>
      <w:r>
        <w:rPr>
          <w:rFonts w:eastAsia="SimSun"/>
        </w:rPr>
        <w:t xml:space="preserve"> an </w:t>
      </w:r>
      <w:r w:rsidRPr="000F4A61">
        <w:rPr>
          <w:rFonts w:eastAsia="SimSun"/>
        </w:rPr>
        <w:t xml:space="preserve">overview of the </w:t>
      </w:r>
      <w:r>
        <w:rPr>
          <w:rFonts w:eastAsia="SimSun"/>
        </w:rPr>
        <w:t>project</w:t>
      </w:r>
      <w:r w:rsidRPr="000F4A61">
        <w:rPr>
          <w:rFonts w:eastAsia="SimSun"/>
        </w:rPr>
        <w:t xml:space="preserve">, </w:t>
      </w:r>
      <w:r>
        <w:rPr>
          <w:rFonts w:eastAsia="SimSun"/>
        </w:rPr>
        <w:t xml:space="preserve">how it will contribute to accelerating peace or humanitarian relief, </w:t>
      </w:r>
      <w:r w:rsidRPr="000F4A61">
        <w:rPr>
          <w:rFonts w:eastAsia="SimSun"/>
        </w:rPr>
        <w:t xml:space="preserve">the intended results and why they are important, and a description of the strategy for their achievement. Basic data includes: </w:t>
      </w:r>
      <w:r>
        <w:rPr>
          <w:rFonts w:eastAsia="SimSun"/>
        </w:rPr>
        <w:t>project</w:t>
      </w:r>
      <w:r w:rsidRPr="000F4A61">
        <w:rPr>
          <w:rFonts w:eastAsia="SimSun"/>
        </w:rPr>
        <w:t xml:space="preserve"> duration, total budget, funding sources,</w:t>
      </w:r>
      <w:r>
        <w:rPr>
          <w:rFonts w:eastAsia="SimSun"/>
        </w:rPr>
        <w:t xml:space="preserve"> partners,</w:t>
      </w:r>
      <w:r w:rsidRPr="000F4A61">
        <w:rPr>
          <w:rFonts w:eastAsia="SimSun"/>
        </w:rPr>
        <w:t xml:space="preserve"> target beneficiaries</w:t>
      </w:r>
      <w:r>
        <w:rPr>
          <w:rFonts w:eastAsia="SimSun"/>
        </w:rPr>
        <w:t>, governance structure;</w:t>
      </w:r>
    </w:p>
    <w:p w14:paraId="14D599FC" w14:textId="77777777" w:rsidR="00E7692B" w:rsidRPr="000F4A61" w:rsidRDefault="00E7692B" w:rsidP="000B7AA6">
      <w:pPr>
        <w:rPr>
          <w:rFonts w:eastAsia="SimSun"/>
        </w:rPr>
      </w:pPr>
      <w:r w:rsidRPr="000F4A61">
        <w:rPr>
          <w:rFonts w:eastAsia="SimSun"/>
        </w:rPr>
        <w:t xml:space="preserve">  </w:t>
      </w:r>
    </w:p>
    <w:p w14:paraId="61811D1B" w14:textId="77777777" w:rsidR="00E7692B" w:rsidRPr="000F4A61" w:rsidRDefault="00E7692B" w:rsidP="000B7AA6">
      <w:pPr>
        <w:pStyle w:val="ListParagraph"/>
        <w:numPr>
          <w:ilvl w:val="0"/>
          <w:numId w:val="14"/>
        </w:numPr>
        <w:spacing w:after="0"/>
        <w:rPr>
          <w:b/>
          <w:sz w:val="24"/>
          <w:szCs w:val="24"/>
        </w:rPr>
      </w:pPr>
      <w:r>
        <w:rPr>
          <w:b/>
          <w:sz w:val="24"/>
          <w:szCs w:val="24"/>
        </w:rPr>
        <w:t xml:space="preserve">Context and </w:t>
      </w:r>
      <w:r w:rsidRPr="000F4A61">
        <w:rPr>
          <w:b/>
          <w:sz w:val="24"/>
          <w:szCs w:val="24"/>
        </w:rPr>
        <w:t>Situation Analysis</w:t>
      </w:r>
    </w:p>
    <w:p w14:paraId="3146765E" w14:textId="77777777" w:rsidR="00E7692B" w:rsidRDefault="00E7692B" w:rsidP="000B7AA6"/>
    <w:p w14:paraId="7737BAA7" w14:textId="77777777" w:rsidR="00E7692B" w:rsidRDefault="00E7692B" w:rsidP="000B7AA6">
      <w:r>
        <w:t>The context should provide an analysis of the broad p</w:t>
      </w:r>
      <w:r w:rsidRPr="00865607">
        <w:t xml:space="preserve">olitical context – nature of conflict / emergency/ humanitarian situation. It should also </w:t>
      </w:r>
      <w:r>
        <w:t xml:space="preserve">contain an </w:t>
      </w:r>
      <w:r w:rsidRPr="00865607">
        <w:t xml:space="preserve">analysis of the situation of women/gender equality </w:t>
      </w:r>
      <w:r>
        <w:t>the Project aims at addressing</w:t>
      </w:r>
    </w:p>
    <w:p w14:paraId="300095F3" w14:textId="77777777" w:rsidR="00E7692B" w:rsidRDefault="00E7692B" w:rsidP="000B7AA6">
      <w:pPr>
        <w:pStyle w:val="ListParagraph"/>
        <w:spacing w:after="0"/>
        <w:ind w:left="1080"/>
        <w:rPr>
          <w:b/>
          <w:sz w:val="24"/>
          <w:szCs w:val="24"/>
        </w:rPr>
      </w:pPr>
    </w:p>
    <w:p w14:paraId="218559BB" w14:textId="40E03AB5" w:rsidR="00E7692B" w:rsidRPr="005A284C" w:rsidRDefault="00E7692B" w:rsidP="000B7AA6">
      <w:pPr>
        <w:pStyle w:val="ListParagraph"/>
        <w:numPr>
          <w:ilvl w:val="0"/>
          <w:numId w:val="14"/>
        </w:numPr>
        <w:spacing w:after="0"/>
        <w:rPr>
          <w:b/>
          <w:sz w:val="24"/>
          <w:szCs w:val="24"/>
        </w:rPr>
      </w:pPr>
      <w:r>
        <w:rPr>
          <w:b/>
          <w:sz w:val="24"/>
          <w:szCs w:val="24"/>
        </w:rPr>
        <w:t xml:space="preserve">Rationale for </w:t>
      </w:r>
      <w:r w:rsidR="001D584D">
        <w:rPr>
          <w:b/>
          <w:sz w:val="24"/>
          <w:szCs w:val="24"/>
        </w:rPr>
        <w:t xml:space="preserve">WPHF’s </w:t>
      </w:r>
      <w:r>
        <w:rPr>
          <w:b/>
          <w:sz w:val="24"/>
          <w:szCs w:val="24"/>
        </w:rPr>
        <w:t>support</w:t>
      </w:r>
    </w:p>
    <w:p w14:paraId="13D0153B" w14:textId="77777777" w:rsidR="00E7692B" w:rsidRPr="000F4A61" w:rsidRDefault="00E7692B" w:rsidP="000B7AA6">
      <w:pPr>
        <w:ind w:left="360"/>
        <w:rPr>
          <w:rFonts w:eastAsia="SimSun"/>
        </w:rPr>
      </w:pPr>
    </w:p>
    <w:p w14:paraId="30CB380D" w14:textId="77777777" w:rsidR="00E7692B" w:rsidRDefault="00E7692B" w:rsidP="000B7AA6">
      <w:r w:rsidRPr="00F222CC">
        <w:rPr>
          <w:rFonts w:eastAsia="SimSun"/>
        </w:rPr>
        <w:t>This section will provide an overview of other</w:t>
      </w:r>
      <w:r>
        <w:rPr>
          <w:rFonts w:eastAsia="SimSun"/>
        </w:rPr>
        <w:t xml:space="preserve"> women,</w:t>
      </w:r>
      <w:r w:rsidRPr="00F222CC">
        <w:rPr>
          <w:rFonts w:eastAsia="SimSun"/>
        </w:rPr>
        <w:t xml:space="preserve"> peace, security and humanitarian initiatives and projects and gaps</w:t>
      </w:r>
      <w:r>
        <w:rPr>
          <w:rFonts w:eastAsia="SimSun"/>
        </w:rPr>
        <w:t xml:space="preserve"> at the national level and/or in the geographic area of the project.</w:t>
      </w:r>
      <w:r w:rsidRPr="00F222CC">
        <w:rPr>
          <w:rFonts w:eastAsia="SimSun"/>
        </w:rPr>
        <w:t xml:space="preserve"> </w:t>
      </w:r>
      <w:r>
        <w:t>It will e</w:t>
      </w:r>
      <w:r w:rsidRPr="00F222CC">
        <w:t xml:space="preserve">xplain the added value the </w:t>
      </w:r>
      <w:r>
        <w:t xml:space="preserve">project and </w:t>
      </w:r>
      <w:r w:rsidRPr="00F222CC">
        <w:t xml:space="preserve">how it would complement other </w:t>
      </w:r>
      <w:r>
        <w:t xml:space="preserve">initiatives. </w:t>
      </w:r>
    </w:p>
    <w:p w14:paraId="7F32065D" w14:textId="77777777" w:rsidR="00E7692B" w:rsidRPr="00B46BEF" w:rsidRDefault="00E7692B" w:rsidP="000B7AA6">
      <w:pPr>
        <w:rPr>
          <w:rFonts w:eastAsia="SimSun"/>
        </w:rPr>
      </w:pPr>
      <w:r>
        <w:rPr>
          <w:rFonts w:eastAsia="SimSun"/>
        </w:rPr>
        <w:t xml:space="preserve">It will also contain the problem statement and how the Project intends </w:t>
      </w:r>
      <w:r w:rsidR="001A4D67">
        <w:rPr>
          <w:rFonts w:eastAsia="SimSun"/>
        </w:rPr>
        <w:t xml:space="preserve">to </w:t>
      </w:r>
      <w:r>
        <w:rPr>
          <w:rFonts w:eastAsia="SimSun"/>
        </w:rPr>
        <w:t>solve it (underlining added value of investing in women in order to accelerate peace). This section can build on d</w:t>
      </w:r>
      <w:r w:rsidRPr="00B46BEF">
        <w:t xml:space="preserve">ocumented evidence, lessons, and good practices of </w:t>
      </w:r>
      <w:r w:rsidRPr="00B46BEF">
        <w:rPr>
          <w:rFonts w:eastAsia="SimSun"/>
        </w:rPr>
        <w:t xml:space="preserve">past </w:t>
      </w:r>
      <w:r>
        <w:rPr>
          <w:rFonts w:eastAsia="SimSun"/>
        </w:rPr>
        <w:t xml:space="preserve">initiatives in the country, </w:t>
      </w:r>
      <w:r w:rsidRPr="00B46BEF">
        <w:rPr>
          <w:rFonts w:eastAsia="SimSun"/>
        </w:rPr>
        <w:t xml:space="preserve">region </w:t>
      </w:r>
      <w:r>
        <w:rPr>
          <w:rFonts w:eastAsia="SimSun"/>
        </w:rPr>
        <w:t>and locality</w:t>
      </w:r>
      <w:r w:rsidRPr="00B46BEF">
        <w:rPr>
          <w:rFonts w:eastAsia="SimSun"/>
        </w:rPr>
        <w:t>.</w:t>
      </w:r>
    </w:p>
    <w:p w14:paraId="3D2B0E1A" w14:textId="77777777" w:rsidR="00E7692B" w:rsidRDefault="00E7692B" w:rsidP="000B7AA6">
      <w:r>
        <w:t>It will explain how the requesting organization(s) has the knowledge/expertise/partnerships to successfully achieve results.</w:t>
      </w:r>
    </w:p>
    <w:p w14:paraId="37C8E013" w14:textId="77777777" w:rsidR="00E7692B" w:rsidRPr="000F4A61" w:rsidRDefault="00E7692B" w:rsidP="000B7AA6"/>
    <w:p w14:paraId="30491092" w14:textId="77777777" w:rsidR="00E7692B" w:rsidRPr="00B46BEF" w:rsidRDefault="00E7692B" w:rsidP="000B7AA6">
      <w:pPr>
        <w:pStyle w:val="ListParagraph"/>
        <w:numPr>
          <w:ilvl w:val="0"/>
          <w:numId w:val="14"/>
        </w:numPr>
        <w:spacing w:after="0"/>
        <w:rPr>
          <w:b/>
          <w:sz w:val="24"/>
          <w:szCs w:val="24"/>
        </w:rPr>
      </w:pPr>
      <w:r w:rsidRPr="00B46BEF">
        <w:rPr>
          <w:b/>
          <w:sz w:val="24"/>
          <w:szCs w:val="24"/>
        </w:rPr>
        <w:t>Results and Resources Framework</w:t>
      </w:r>
    </w:p>
    <w:p w14:paraId="7E0D7871" w14:textId="77777777" w:rsidR="00E7692B" w:rsidRPr="000F4A61" w:rsidRDefault="00E7692B" w:rsidP="000B7AA6">
      <w:pPr>
        <w:ind w:left="1440"/>
      </w:pPr>
    </w:p>
    <w:p w14:paraId="65D28B39" w14:textId="77777777" w:rsidR="00E7692B" w:rsidRPr="00F222CC" w:rsidRDefault="00E7692B" w:rsidP="000B7AA6">
      <w:r w:rsidRPr="00F222CC">
        <w:t xml:space="preserve">This section describes the results to be achieved by the </w:t>
      </w:r>
      <w:r>
        <w:t>Project</w:t>
      </w:r>
      <w:r w:rsidRPr="00F222CC">
        <w:t xml:space="preserve"> and the means of implementation (</w:t>
      </w:r>
      <w:r w:rsidR="000A10B5">
        <w:t>please describe</w:t>
      </w:r>
      <w:r w:rsidRPr="00F222CC">
        <w:t xml:space="preserve">). </w:t>
      </w:r>
    </w:p>
    <w:p w14:paraId="5933F36E" w14:textId="77777777" w:rsidR="00E7692B" w:rsidRPr="000F4A61" w:rsidRDefault="00E7692B" w:rsidP="000B7AA6">
      <w:r>
        <w:t>The results will also be formulated in a results</w:t>
      </w:r>
      <w:r w:rsidRPr="000F4A61">
        <w:t xml:space="preserve"> framework </w:t>
      </w:r>
      <w:r>
        <w:t>(</w:t>
      </w:r>
      <w:r w:rsidRPr="000F4A61">
        <w:t>us</w:t>
      </w:r>
      <w:r>
        <w:t>ing</w:t>
      </w:r>
      <w:r w:rsidRPr="000F4A61">
        <w:t xml:space="preserve"> the same format </w:t>
      </w:r>
      <w:r>
        <w:t>in</w:t>
      </w:r>
      <w:r w:rsidRPr="000F4A61">
        <w:t xml:space="preserve"> Annex A).</w:t>
      </w:r>
    </w:p>
    <w:p w14:paraId="390EA81D" w14:textId="7538FC9B" w:rsidR="00E7692B" w:rsidRDefault="00E7692B" w:rsidP="000B7AA6">
      <w:r>
        <w:t xml:space="preserve">The Project’s Outcome is repeated from the </w:t>
      </w:r>
      <w:r w:rsidR="001D584D">
        <w:t xml:space="preserve">WPHF’s </w:t>
      </w:r>
      <w:r>
        <w:t>Outcome(s) selected in the Country’s allocation</w:t>
      </w:r>
      <w:r>
        <w:rPr>
          <w:rStyle w:val="FootnoteReference"/>
        </w:rPr>
        <w:footnoteReference w:id="12"/>
      </w:r>
      <w:r>
        <w:t>.</w:t>
      </w:r>
    </w:p>
    <w:p w14:paraId="0254429F" w14:textId="263FB1C2" w:rsidR="00E7692B" w:rsidRDefault="00E7692B" w:rsidP="000B7AA6">
      <w:r w:rsidRPr="000F4A61">
        <w:t>New indicators must be SMART</w:t>
      </w:r>
      <w:r w:rsidR="000A10B5">
        <w:t xml:space="preserve"> (Specific, Measurable, Attainable, Realistic, Time-Based)</w:t>
      </w:r>
      <w:r w:rsidRPr="000F4A61">
        <w:t xml:space="preserve"> and contribute to higher level</w:t>
      </w:r>
      <w:r>
        <w:t xml:space="preserve"> of</w:t>
      </w:r>
      <w:r w:rsidRPr="000F4A61">
        <w:t xml:space="preserve"> </w:t>
      </w:r>
      <w:r w:rsidR="001D584D">
        <w:t xml:space="preserve">WPHF’s </w:t>
      </w:r>
      <w:r>
        <w:t>Theory of Change</w:t>
      </w:r>
      <w:r w:rsidRPr="000F4A61">
        <w:t>. Key activities that are necessary to produce each output are also defined.  Activities do not have indicators. In the “Means of Verification/Sources of Information” column, identify the methods and sources of information that will be used to measure performance against the indicators.</w:t>
      </w:r>
    </w:p>
    <w:p w14:paraId="758C7851" w14:textId="77777777" w:rsidR="00E7692B" w:rsidRDefault="00E7692B" w:rsidP="000B7AA6">
      <w:r>
        <w:t>A Resource framework using UNDG’s categories will also be included (See Annex B).</w:t>
      </w:r>
    </w:p>
    <w:p w14:paraId="28F0C23A" w14:textId="77777777" w:rsidR="00E7692B" w:rsidRDefault="00E7692B" w:rsidP="000B7AA6">
      <w:pPr>
        <w:pStyle w:val="ListParagraph"/>
        <w:spacing w:after="0"/>
        <w:ind w:left="1080"/>
        <w:rPr>
          <w:b/>
          <w:sz w:val="24"/>
          <w:szCs w:val="24"/>
        </w:rPr>
      </w:pPr>
    </w:p>
    <w:p w14:paraId="3757ECC9" w14:textId="77777777" w:rsidR="001A4D67" w:rsidRDefault="001A4D67" w:rsidP="000B7AA6">
      <w:pPr>
        <w:pStyle w:val="ListParagraph"/>
        <w:spacing w:after="0"/>
        <w:ind w:left="1080"/>
        <w:rPr>
          <w:b/>
          <w:sz w:val="24"/>
          <w:szCs w:val="24"/>
        </w:rPr>
      </w:pPr>
    </w:p>
    <w:p w14:paraId="432399F6" w14:textId="77777777" w:rsidR="001A4D67" w:rsidRDefault="001A4D67" w:rsidP="000B7AA6">
      <w:pPr>
        <w:pStyle w:val="ListParagraph"/>
        <w:spacing w:after="0"/>
        <w:ind w:left="1080"/>
        <w:rPr>
          <w:b/>
          <w:sz w:val="24"/>
          <w:szCs w:val="24"/>
        </w:rPr>
      </w:pPr>
    </w:p>
    <w:p w14:paraId="47D63C06" w14:textId="77777777" w:rsidR="00E7692B" w:rsidRDefault="00E7692B" w:rsidP="000B7AA6">
      <w:pPr>
        <w:pStyle w:val="ListParagraph"/>
        <w:numPr>
          <w:ilvl w:val="0"/>
          <w:numId w:val="14"/>
        </w:numPr>
        <w:spacing w:after="0"/>
        <w:rPr>
          <w:b/>
          <w:sz w:val="24"/>
          <w:szCs w:val="24"/>
        </w:rPr>
      </w:pPr>
      <w:r>
        <w:rPr>
          <w:b/>
          <w:sz w:val="24"/>
          <w:szCs w:val="24"/>
        </w:rPr>
        <w:t>Partnerships</w:t>
      </w:r>
      <w:r w:rsidR="000A10B5">
        <w:rPr>
          <w:b/>
          <w:sz w:val="24"/>
          <w:szCs w:val="24"/>
        </w:rPr>
        <w:t xml:space="preserve"> (optional if there are no partner applicants)</w:t>
      </w:r>
    </w:p>
    <w:p w14:paraId="00C97ADD" w14:textId="77777777" w:rsidR="00E7692B" w:rsidRPr="00B46BEF" w:rsidRDefault="00E7692B" w:rsidP="000B7AA6">
      <w:pPr>
        <w:pStyle w:val="ListParagraph"/>
        <w:spacing w:after="0"/>
        <w:ind w:left="1080"/>
        <w:rPr>
          <w:b/>
          <w:sz w:val="24"/>
          <w:szCs w:val="24"/>
        </w:rPr>
      </w:pPr>
    </w:p>
    <w:p w14:paraId="4C7B2B1A" w14:textId="77777777" w:rsidR="00E7692B" w:rsidRDefault="00E7692B" w:rsidP="000B7AA6">
      <w:r>
        <w:t xml:space="preserve">This section will provide </w:t>
      </w:r>
      <w:r w:rsidRPr="00F222CC">
        <w:t>a partners’ assessment detailing each partner’s role, added value and capacities</w:t>
      </w:r>
      <w:r>
        <w:t xml:space="preserve"> (UN entities, Government and Civil Society Organizations)</w:t>
      </w:r>
      <w:r w:rsidRPr="00F222CC">
        <w:t xml:space="preserve">. </w:t>
      </w:r>
    </w:p>
    <w:p w14:paraId="2C3174D7" w14:textId="77777777" w:rsidR="00E7692B" w:rsidRPr="00F222CC" w:rsidRDefault="000A10B5" w:rsidP="000B7AA6">
      <w:r>
        <w:t>P</w:t>
      </w:r>
      <w:r w:rsidR="00E7692B" w:rsidRPr="00F222CC">
        <w:t xml:space="preserve">articular </w:t>
      </w:r>
      <w:r w:rsidR="00E7692B">
        <w:t>attention</w:t>
      </w:r>
      <w:r w:rsidR="00E7692B" w:rsidRPr="00F222CC">
        <w:t xml:space="preserve"> </w:t>
      </w:r>
      <w:r>
        <w:t>should</w:t>
      </w:r>
      <w:r w:rsidR="00E7692B" w:rsidRPr="00F222CC">
        <w:t xml:space="preserve"> be given to </w:t>
      </w:r>
      <w:r w:rsidR="00E7692B">
        <w:t xml:space="preserve">explaining </w:t>
      </w:r>
      <w:r w:rsidR="00E7692B" w:rsidRPr="00F222CC">
        <w:t>how</w:t>
      </w:r>
      <w:r w:rsidR="00526474">
        <w:t xml:space="preserve"> this</w:t>
      </w:r>
      <w:r w:rsidR="00E7692B" w:rsidRPr="00F222CC">
        <w:t xml:space="preserve"> </w:t>
      </w:r>
      <w:r>
        <w:t>partnership</w:t>
      </w:r>
      <w:r w:rsidR="00E7692B">
        <w:t xml:space="preserve"> will help</w:t>
      </w:r>
      <w:r w:rsidR="00E7692B" w:rsidRPr="00F222CC">
        <w:t xml:space="preserve"> support local, grassroots and/or community </w:t>
      </w:r>
      <w:r w:rsidR="00E7692B">
        <w:t>women’s or women’s rights CSO</w:t>
      </w:r>
      <w:r w:rsidR="00E7692B" w:rsidRPr="00F222CC">
        <w:t xml:space="preserve">s.   </w:t>
      </w:r>
    </w:p>
    <w:p w14:paraId="005C2CBC" w14:textId="77777777" w:rsidR="00E7692B" w:rsidRPr="005A284C" w:rsidRDefault="00E7692B" w:rsidP="000B7AA6"/>
    <w:p w14:paraId="6B2CC67E" w14:textId="77777777" w:rsidR="00E7692B" w:rsidRDefault="003D6D15" w:rsidP="000B7AA6">
      <w:pPr>
        <w:pStyle w:val="ListParagraph"/>
        <w:numPr>
          <w:ilvl w:val="0"/>
          <w:numId w:val="14"/>
        </w:numPr>
        <w:spacing w:after="0"/>
        <w:rPr>
          <w:b/>
          <w:sz w:val="24"/>
          <w:szCs w:val="24"/>
        </w:rPr>
      </w:pPr>
      <w:r>
        <w:rPr>
          <w:b/>
          <w:sz w:val="24"/>
          <w:szCs w:val="24"/>
        </w:rPr>
        <w:t xml:space="preserve">Management Arrangements and Risk Analysis </w:t>
      </w:r>
    </w:p>
    <w:p w14:paraId="2FC7B155" w14:textId="77777777" w:rsidR="00E7692B" w:rsidRDefault="00E7692B" w:rsidP="000B7AA6">
      <w:pPr>
        <w:spacing w:after="0"/>
        <w:rPr>
          <w:b/>
          <w:sz w:val="24"/>
          <w:szCs w:val="24"/>
        </w:rPr>
      </w:pPr>
    </w:p>
    <w:p w14:paraId="1AEADEC6" w14:textId="77777777" w:rsidR="003D6D15" w:rsidRDefault="00E7692B" w:rsidP="000B7AA6">
      <w:r w:rsidRPr="00057B43">
        <w:t xml:space="preserve">This section will describe the </w:t>
      </w:r>
      <w:r>
        <w:t>management</w:t>
      </w:r>
      <w:r w:rsidRPr="00057B43">
        <w:t xml:space="preserve"> arrangements</w:t>
      </w:r>
      <w:r>
        <w:t>,</w:t>
      </w:r>
      <w:r w:rsidR="003D6D15">
        <w:t xml:space="preserve"> risk analysis (see OM Section 8) and proposed mitigation measures. </w:t>
      </w:r>
    </w:p>
    <w:p w14:paraId="3F71240D" w14:textId="77777777" w:rsidR="00E7692B" w:rsidRDefault="003D6D15" w:rsidP="000B7AA6">
      <w:r>
        <w:t xml:space="preserve">You are welcome to include any reporting or research activities that may be developed through this Project. However, this is optional. </w:t>
      </w:r>
    </w:p>
    <w:p w14:paraId="7280E38E" w14:textId="77777777" w:rsidR="00E7692B" w:rsidRPr="0097489D" w:rsidRDefault="00E7692B" w:rsidP="000B7AA6">
      <w:pPr>
        <w:rPr>
          <w:b/>
        </w:rPr>
        <w:sectPr w:rsidR="00E7692B" w:rsidRPr="0097489D" w:rsidSect="00434F65">
          <w:headerReference w:type="default" r:id="rId14"/>
          <w:footerReference w:type="default" r:id="rId15"/>
          <w:pgSz w:w="11906" w:h="16838"/>
          <w:pgMar w:top="851" w:right="964" w:bottom="851" w:left="964" w:header="709" w:footer="709" w:gutter="0"/>
          <w:cols w:space="708"/>
          <w:docGrid w:linePitch="360"/>
        </w:sectPr>
      </w:pPr>
    </w:p>
    <w:p w14:paraId="55A6C0CF" w14:textId="77777777" w:rsidR="00E7692B" w:rsidRPr="001404D5" w:rsidRDefault="00E7692B" w:rsidP="000B7AA6">
      <w:pPr>
        <w:rPr>
          <w:b/>
        </w:rPr>
      </w:pPr>
      <w:r>
        <w:rPr>
          <w:b/>
        </w:rPr>
        <w:lastRenderedPageBreak/>
        <w:t>Annex A: Results framework</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131"/>
        <w:gridCol w:w="3770"/>
        <w:gridCol w:w="3804"/>
        <w:gridCol w:w="3647"/>
      </w:tblGrid>
      <w:tr w:rsidR="00E7692B" w:rsidRPr="00717B69" w14:paraId="2DA7345D" w14:textId="77777777" w:rsidTr="00434F65">
        <w:tc>
          <w:tcPr>
            <w:tcW w:w="1774" w:type="dxa"/>
            <w:shd w:val="clear" w:color="auto" w:fill="4BACC6"/>
            <w:vAlign w:val="center"/>
          </w:tcPr>
          <w:p w14:paraId="793FB9B6" w14:textId="77777777" w:rsidR="00E7692B" w:rsidRPr="00717B69" w:rsidRDefault="00E7692B" w:rsidP="000B7AA6">
            <w:pPr>
              <w:rPr>
                <w:b/>
                <w:color w:val="FFFFFF"/>
              </w:rPr>
            </w:pPr>
            <w:r w:rsidRPr="00717B69">
              <w:rPr>
                <w:b/>
                <w:color w:val="FFFFFF"/>
              </w:rPr>
              <w:t>Results</w:t>
            </w:r>
          </w:p>
        </w:tc>
        <w:tc>
          <w:tcPr>
            <w:tcW w:w="2131" w:type="dxa"/>
            <w:tcBorders>
              <w:top w:val="single" w:sz="8" w:space="0" w:color="auto"/>
              <w:bottom w:val="single" w:sz="8" w:space="0" w:color="auto"/>
            </w:tcBorders>
            <w:shd w:val="clear" w:color="auto" w:fill="4BACC6"/>
            <w:vAlign w:val="center"/>
          </w:tcPr>
          <w:p w14:paraId="1CC46644" w14:textId="77777777" w:rsidR="00E7692B" w:rsidRPr="00717B69" w:rsidRDefault="00E7692B" w:rsidP="000B7AA6">
            <w:pPr>
              <w:rPr>
                <w:b/>
                <w:color w:val="FFFFFF"/>
              </w:rPr>
            </w:pPr>
            <w:r w:rsidRPr="00717B69">
              <w:rPr>
                <w:b/>
                <w:color w:val="FFFFFF"/>
              </w:rPr>
              <w:t>Indicators</w:t>
            </w:r>
          </w:p>
        </w:tc>
        <w:tc>
          <w:tcPr>
            <w:tcW w:w="3770" w:type="dxa"/>
            <w:shd w:val="clear" w:color="auto" w:fill="4BACC6"/>
            <w:vAlign w:val="center"/>
          </w:tcPr>
          <w:p w14:paraId="35940EF4" w14:textId="77777777" w:rsidR="00E7692B" w:rsidRPr="00717B69" w:rsidRDefault="00E7692B" w:rsidP="000B7AA6">
            <w:pPr>
              <w:rPr>
                <w:b/>
                <w:color w:val="FFFFFF"/>
              </w:rPr>
            </w:pPr>
            <w:r w:rsidRPr="00717B69">
              <w:rPr>
                <w:b/>
                <w:color w:val="FFFFFF"/>
              </w:rPr>
              <w:t>Means of Verification/Sources of Information</w:t>
            </w:r>
          </w:p>
        </w:tc>
        <w:tc>
          <w:tcPr>
            <w:tcW w:w="3804" w:type="dxa"/>
            <w:shd w:val="clear" w:color="auto" w:fill="4BACC6"/>
            <w:vAlign w:val="center"/>
          </w:tcPr>
          <w:p w14:paraId="0C0E6EBA" w14:textId="77777777" w:rsidR="00E7692B" w:rsidRPr="00717B69" w:rsidRDefault="00E7692B" w:rsidP="000B7AA6">
            <w:pPr>
              <w:rPr>
                <w:b/>
                <w:color w:val="FFFFFF"/>
              </w:rPr>
            </w:pPr>
            <w:r w:rsidRPr="00717B69">
              <w:rPr>
                <w:b/>
                <w:color w:val="FFFFFF"/>
              </w:rPr>
              <w:t>Activities</w:t>
            </w:r>
          </w:p>
        </w:tc>
        <w:tc>
          <w:tcPr>
            <w:tcW w:w="3647" w:type="dxa"/>
            <w:shd w:val="clear" w:color="auto" w:fill="4BACC6"/>
            <w:vAlign w:val="center"/>
          </w:tcPr>
          <w:p w14:paraId="20BA7F02" w14:textId="77777777" w:rsidR="00E7692B" w:rsidRPr="00717B69" w:rsidRDefault="00E7692B" w:rsidP="000B7AA6">
            <w:pPr>
              <w:rPr>
                <w:b/>
                <w:color w:val="FFFFFF"/>
              </w:rPr>
            </w:pPr>
            <w:r>
              <w:rPr>
                <w:b/>
                <w:color w:val="FFFFFF"/>
              </w:rPr>
              <w:t>Budget</w:t>
            </w:r>
          </w:p>
        </w:tc>
      </w:tr>
      <w:tr w:rsidR="00E7692B" w:rsidRPr="000B74A8" w14:paraId="3412BA0E" w14:textId="77777777" w:rsidTr="00434F65">
        <w:trPr>
          <w:trHeight w:val="1357"/>
        </w:trPr>
        <w:tc>
          <w:tcPr>
            <w:tcW w:w="1774" w:type="dxa"/>
            <w:shd w:val="clear" w:color="auto" w:fill="DBE5F1"/>
          </w:tcPr>
          <w:p w14:paraId="029095F3" w14:textId="77777777" w:rsidR="00E7692B" w:rsidRPr="00524570" w:rsidRDefault="00E7692B" w:rsidP="000B7AA6">
            <w:pPr>
              <w:rPr>
                <w:b/>
                <w:sz w:val="20"/>
              </w:rPr>
            </w:pPr>
            <w:r w:rsidRPr="00524570">
              <w:rPr>
                <w:b/>
                <w:sz w:val="20"/>
              </w:rPr>
              <w:t xml:space="preserve">Outcome </w:t>
            </w:r>
            <w:r>
              <w:rPr>
                <w:rStyle w:val="FootnoteReference"/>
              </w:rPr>
              <w:footnoteReference w:id="13"/>
            </w:r>
          </w:p>
          <w:p w14:paraId="7FD54DA9" w14:textId="77777777" w:rsidR="00E7692B" w:rsidRPr="00524570" w:rsidRDefault="00E7692B" w:rsidP="000B7AA6">
            <w:pPr>
              <w:tabs>
                <w:tab w:val="center" w:pos="1827"/>
              </w:tabs>
              <w:rPr>
                <w:b/>
                <w:sz w:val="20"/>
              </w:rPr>
            </w:pPr>
          </w:p>
        </w:tc>
        <w:tc>
          <w:tcPr>
            <w:tcW w:w="2131" w:type="dxa"/>
            <w:shd w:val="clear" w:color="auto" w:fill="DBE5F1"/>
          </w:tcPr>
          <w:p w14:paraId="35114A0D" w14:textId="77777777" w:rsidR="00E7692B" w:rsidRPr="009373E4" w:rsidRDefault="00E7692B" w:rsidP="000B7AA6">
            <w:pPr>
              <w:pStyle w:val="ColorfulList-Accent11"/>
              <w:ind w:left="0"/>
              <w:jc w:val="left"/>
              <w:rPr>
                <w:rFonts w:asciiTheme="minorHAnsi" w:hAnsiTheme="minorHAnsi" w:cstheme="minorHAnsi"/>
                <w:sz w:val="20"/>
              </w:rPr>
            </w:pPr>
            <w:r w:rsidRPr="009373E4">
              <w:rPr>
                <w:rFonts w:asciiTheme="minorHAnsi" w:hAnsiTheme="minorHAnsi" w:cstheme="minorHAnsi"/>
                <w:sz w:val="20"/>
              </w:rPr>
              <w:t>Outcome indicator</w:t>
            </w:r>
            <w:r w:rsidRPr="009373E4">
              <w:rPr>
                <w:rStyle w:val="FootnoteReference"/>
                <w:rFonts w:asciiTheme="minorHAnsi" w:eastAsia="MS Gothic" w:hAnsiTheme="minorHAnsi" w:cstheme="minorHAnsi"/>
              </w:rPr>
              <w:footnoteReference w:id="14"/>
            </w:r>
          </w:p>
        </w:tc>
        <w:tc>
          <w:tcPr>
            <w:tcW w:w="3770" w:type="dxa"/>
            <w:shd w:val="clear" w:color="auto" w:fill="DBE5F1"/>
          </w:tcPr>
          <w:p w14:paraId="7352B6A7" w14:textId="77777777" w:rsidR="00E7692B" w:rsidRPr="00524570" w:rsidRDefault="00E7692B" w:rsidP="000B7AA6">
            <w:pPr>
              <w:rPr>
                <w:sz w:val="20"/>
              </w:rPr>
            </w:pPr>
          </w:p>
        </w:tc>
        <w:tc>
          <w:tcPr>
            <w:tcW w:w="3804" w:type="dxa"/>
            <w:tcBorders>
              <w:tl2br w:val="single" w:sz="4" w:space="0" w:color="auto"/>
            </w:tcBorders>
            <w:shd w:val="clear" w:color="auto" w:fill="DBE5F1"/>
          </w:tcPr>
          <w:p w14:paraId="47360E04" w14:textId="77777777" w:rsidR="00E7692B" w:rsidRPr="00524570" w:rsidRDefault="00E7692B" w:rsidP="000B7AA6">
            <w:pPr>
              <w:ind w:left="162" w:hanging="180"/>
              <w:rPr>
                <w:sz w:val="20"/>
              </w:rPr>
            </w:pPr>
          </w:p>
        </w:tc>
        <w:tc>
          <w:tcPr>
            <w:tcW w:w="3647" w:type="dxa"/>
            <w:tcBorders>
              <w:tl2br w:val="single" w:sz="4" w:space="0" w:color="auto"/>
            </w:tcBorders>
            <w:shd w:val="clear" w:color="auto" w:fill="DBE5F1"/>
          </w:tcPr>
          <w:p w14:paraId="7FC49846" w14:textId="77777777" w:rsidR="00E7692B" w:rsidRPr="00524570" w:rsidRDefault="00E7692B" w:rsidP="000B7AA6">
            <w:pPr>
              <w:ind w:left="162" w:hanging="180"/>
              <w:rPr>
                <w:sz w:val="20"/>
              </w:rPr>
            </w:pPr>
          </w:p>
        </w:tc>
      </w:tr>
      <w:tr w:rsidR="00E7692B" w:rsidRPr="00524570" w14:paraId="5C30691D" w14:textId="77777777" w:rsidTr="00434F65">
        <w:trPr>
          <w:trHeight w:val="1409"/>
        </w:trPr>
        <w:tc>
          <w:tcPr>
            <w:tcW w:w="1774" w:type="dxa"/>
            <w:shd w:val="clear" w:color="auto" w:fill="FFFF99"/>
          </w:tcPr>
          <w:p w14:paraId="4D78720B" w14:textId="77777777" w:rsidR="00E7692B" w:rsidRPr="000B74A8" w:rsidRDefault="00E7692B" w:rsidP="000B7AA6">
            <w:pPr>
              <w:rPr>
                <w:b/>
                <w:color w:val="FF0000"/>
                <w:sz w:val="20"/>
              </w:rPr>
            </w:pPr>
            <w:r w:rsidRPr="00524570">
              <w:rPr>
                <w:color w:val="000000"/>
                <w:sz w:val="20"/>
              </w:rPr>
              <w:t>Output 1.1</w:t>
            </w:r>
            <w:r w:rsidR="0084524B">
              <w:rPr>
                <w:rStyle w:val="FootnoteReference"/>
                <w:color w:val="000000"/>
                <w:sz w:val="20"/>
              </w:rPr>
              <w:footnoteReference w:id="15"/>
            </w:r>
            <w:r w:rsidRPr="00524570">
              <w:rPr>
                <w:color w:val="000000"/>
                <w:sz w:val="20"/>
              </w:rPr>
              <w:t xml:space="preserve"> </w:t>
            </w:r>
          </w:p>
        </w:tc>
        <w:tc>
          <w:tcPr>
            <w:tcW w:w="2131" w:type="dxa"/>
            <w:shd w:val="clear" w:color="auto" w:fill="FFFF99"/>
          </w:tcPr>
          <w:p w14:paraId="20BBEA5D" w14:textId="77777777" w:rsidR="00E7692B" w:rsidRPr="000B74A8" w:rsidRDefault="001253D5" w:rsidP="000B7AA6">
            <w:pPr>
              <w:pStyle w:val="ColorfulList-Accent11"/>
              <w:ind w:left="0"/>
              <w:jc w:val="left"/>
              <w:rPr>
                <w:rFonts w:ascii="Times New Roman" w:hAnsi="Times New Roman"/>
                <w:b/>
                <w:color w:val="FF0000"/>
                <w:sz w:val="20"/>
              </w:rPr>
            </w:pPr>
            <w:r>
              <w:rPr>
                <w:rFonts w:ascii="Times New Roman" w:hAnsi="Times New Roman"/>
                <w:b/>
                <w:color w:val="FF0000"/>
                <w:sz w:val="20"/>
              </w:rPr>
              <w:t>Output indicator(s)</w:t>
            </w:r>
          </w:p>
        </w:tc>
        <w:tc>
          <w:tcPr>
            <w:tcW w:w="3770" w:type="dxa"/>
            <w:shd w:val="clear" w:color="auto" w:fill="FFFF99"/>
          </w:tcPr>
          <w:p w14:paraId="641AA782" w14:textId="77777777" w:rsidR="00E7692B" w:rsidRPr="000B74A8" w:rsidRDefault="00E7692B" w:rsidP="000B7AA6">
            <w:pPr>
              <w:rPr>
                <w:b/>
                <w:color w:val="FF0000"/>
                <w:sz w:val="20"/>
              </w:rPr>
            </w:pPr>
          </w:p>
        </w:tc>
        <w:tc>
          <w:tcPr>
            <w:tcW w:w="3804" w:type="dxa"/>
            <w:shd w:val="clear" w:color="auto" w:fill="FFFF99"/>
          </w:tcPr>
          <w:p w14:paraId="6D990921" w14:textId="77777777" w:rsidR="00E7692B" w:rsidRDefault="00E7692B" w:rsidP="000B7AA6">
            <w:pPr>
              <w:rPr>
                <w:sz w:val="20"/>
              </w:rPr>
            </w:pPr>
          </w:p>
          <w:p w14:paraId="23002E34" w14:textId="77777777" w:rsidR="00E7692B" w:rsidRDefault="00E7692B" w:rsidP="000B7AA6">
            <w:pPr>
              <w:rPr>
                <w:sz w:val="20"/>
              </w:rPr>
            </w:pPr>
          </w:p>
          <w:p w14:paraId="58F93411" w14:textId="77777777" w:rsidR="00E7692B" w:rsidRPr="00141292" w:rsidRDefault="00E7692B" w:rsidP="000B7AA6">
            <w:pPr>
              <w:rPr>
                <w:sz w:val="20"/>
              </w:rPr>
            </w:pPr>
          </w:p>
        </w:tc>
        <w:tc>
          <w:tcPr>
            <w:tcW w:w="3647" w:type="dxa"/>
            <w:shd w:val="clear" w:color="auto" w:fill="FFFF99"/>
          </w:tcPr>
          <w:p w14:paraId="6B4F4C56" w14:textId="77777777" w:rsidR="00E7692B" w:rsidRDefault="00E7692B" w:rsidP="000B7AA6">
            <w:pPr>
              <w:rPr>
                <w:sz w:val="20"/>
              </w:rPr>
            </w:pPr>
          </w:p>
        </w:tc>
      </w:tr>
      <w:tr w:rsidR="00E7692B" w:rsidRPr="00522197" w14:paraId="7C19D12D" w14:textId="77777777" w:rsidTr="00434F65">
        <w:trPr>
          <w:trHeight w:val="935"/>
        </w:trPr>
        <w:tc>
          <w:tcPr>
            <w:tcW w:w="1774" w:type="dxa"/>
            <w:shd w:val="clear" w:color="auto" w:fill="FFFF99"/>
          </w:tcPr>
          <w:p w14:paraId="483D70B3" w14:textId="77777777" w:rsidR="00E7692B" w:rsidRPr="00522197" w:rsidRDefault="00E7692B" w:rsidP="000B7AA6">
            <w:pPr>
              <w:rPr>
                <w:sz w:val="20"/>
              </w:rPr>
            </w:pPr>
            <w:r w:rsidRPr="00522197">
              <w:rPr>
                <w:sz w:val="20"/>
              </w:rPr>
              <w:t>Output 1.</w:t>
            </w:r>
            <w:r>
              <w:rPr>
                <w:sz w:val="20"/>
              </w:rPr>
              <w:t>2.</w:t>
            </w:r>
            <w:r w:rsidRPr="00522197">
              <w:rPr>
                <w:sz w:val="20"/>
              </w:rPr>
              <w:t xml:space="preserve"> </w:t>
            </w:r>
          </w:p>
        </w:tc>
        <w:tc>
          <w:tcPr>
            <w:tcW w:w="2131" w:type="dxa"/>
            <w:shd w:val="clear" w:color="auto" w:fill="FFFF99"/>
          </w:tcPr>
          <w:p w14:paraId="781963D5" w14:textId="77777777" w:rsidR="00E7692B" w:rsidRPr="00522197" w:rsidRDefault="00E7692B" w:rsidP="000B7AA6">
            <w:pPr>
              <w:rPr>
                <w:sz w:val="20"/>
              </w:rPr>
            </w:pPr>
          </w:p>
          <w:p w14:paraId="0117D64C" w14:textId="77777777" w:rsidR="00E7692B" w:rsidRPr="00522197" w:rsidRDefault="00E7692B" w:rsidP="000B7AA6">
            <w:pPr>
              <w:rPr>
                <w:color w:val="FF0000"/>
                <w:sz w:val="20"/>
              </w:rPr>
            </w:pPr>
          </w:p>
        </w:tc>
        <w:tc>
          <w:tcPr>
            <w:tcW w:w="3770" w:type="dxa"/>
            <w:shd w:val="clear" w:color="auto" w:fill="FFFF99"/>
          </w:tcPr>
          <w:p w14:paraId="0A84D517" w14:textId="77777777" w:rsidR="00E7692B" w:rsidRPr="00522197" w:rsidRDefault="00E7692B" w:rsidP="000B7AA6">
            <w:pPr>
              <w:rPr>
                <w:color w:val="FF0000"/>
                <w:sz w:val="20"/>
              </w:rPr>
            </w:pPr>
          </w:p>
        </w:tc>
        <w:tc>
          <w:tcPr>
            <w:tcW w:w="3804" w:type="dxa"/>
            <w:shd w:val="clear" w:color="auto" w:fill="FFFF99"/>
          </w:tcPr>
          <w:p w14:paraId="24EF7EAB" w14:textId="77777777" w:rsidR="00E7692B" w:rsidRPr="00522197" w:rsidRDefault="00E7692B" w:rsidP="000B7AA6">
            <w:pPr>
              <w:rPr>
                <w:sz w:val="20"/>
              </w:rPr>
            </w:pPr>
          </w:p>
        </w:tc>
        <w:tc>
          <w:tcPr>
            <w:tcW w:w="3647" w:type="dxa"/>
            <w:shd w:val="clear" w:color="auto" w:fill="FFFF99"/>
          </w:tcPr>
          <w:p w14:paraId="12DB24A7" w14:textId="77777777" w:rsidR="00E7692B" w:rsidRPr="00522197" w:rsidRDefault="00E7692B" w:rsidP="000B7AA6">
            <w:pPr>
              <w:rPr>
                <w:sz w:val="20"/>
              </w:rPr>
            </w:pPr>
          </w:p>
        </w:tc>
      </w:tr>
      <w:tr w:rsidR="00E7692B" w:rsidRPr="00522197" w14:paraId="0ABFC144" w14:textId="77777777" w:rsidTr="00434F65">
        <w:trPr>
          <w:trHeight w:val="1018"/>
        </w:trPr>
        <w:tc>
          <w:tcPr>
            <w:tcW w:w="1774" w:type="dxa"/>
            <w:shd w:val="clear" w:color="auto" w:fill="FFFF99"/>
          </w:tcPr>
          <w:p w14:paraId="057A9DE1" w14:textId="77777777" w:rsidR="00E7692B" w:rsidRPr="00522197" w:rsidRDefault="00E7692B" w:rsidP="000B7AA6">
            <w:pPr>
              <w:rPr>
                <w:sz w:val="20"/>
              </w:rPr>
            </w:pPr>
            <w:r w:rsidRPr="00522197">
              <w:rPr>
                <w:sz w:val="20"/>
              </w:rPr>
              <w:t xml:space="preserve">Output </w:t>
            </w:r>
            <w:r>
              <w:rPr>
                <w:sz w:val="20"/>
              </w:rPr>
              <w:t>1.3.</w:t>
            </w:r>
            <w:r w:rsidRPr="00522197">
              <w:rPr>
                <w:sz w:val="20"/>
              </w:rPr>
              <w:t xml:space="preserve"> </w:t>
            </w:r>
          </w:p>
        </w:tc>
        <w:tc>
          <w:tcPr>
            <w:tcW w:w="2131" w:type="dxa"/>
            <w:shd w:val="clear" w:color="auto" w:fill="FFFF99"/>
          </w:tcPr>
          <w:p w14:paraId="4C07799C" w14:textId="77777777" w:rsidR="00E7692B" w:rsidRPr="00522197" w:rsidRDefault="00E7692B" w:rsidP="000B7AA6">
            <w:pPr>
              <w:rPr>
                <w:sz w:val="20"/>
              </w:rPr>
            </w:pPr>
          </w:p>
          <w:p w14:paraId="55D12A57" w14:textId="77777777" w:rsidR="00E7692B" w:rsidRPr="00522197" w:rsidRDefault="00E7692B" w:rsidP="000B7AA6">
            <w:pPr>
              <w:rPr>
                <w:color w:val="FF0000"/>
                <w:sz w:val="20"/>
              </w:rPr>
            </w:pPr>
          </w:p>
        </w:tc>
        <w:tc>
          <w:tcPr>
            <w:tcW w:w="3770" w:type="dxa"/>
            <w:shd w:val="clear" w:color="auto" w:fill="FFFF99"/>
          </w:tcPr>
          <w:p w14:paraId="54522F2F" w14:textId="77777777" w:rsidR="00E7692B" w:rsidRPr="00522197" w:rsidRDefault="00E7692B" w:rsidP="000B7AA6">
            <w:pPr>
              <w:rPr>
                <w:color w:val="FF0000"/>
                <w:sz w:val="20"/>
              </w:rPr>
            </w:pPr>
          </w:p>
        </w:tc>
        <w:tc>
          <w:tcPr>
            <w:tcW w:w="3804" w:type="dxa"/>
            <w:shd w:val="clear" w:color="auto" w:fill="FFFF99"/>
          </w:tcPr>
          <w:p w14:paraId="6FE90745" w14:textId="77777777" w:rsidR="00E7692B" w:rsidRPr="00522197" w:rsidRDefault="00E7692B" w:rsidP="000B7AA6">
            <w:pPr>
              <w:rPr>
                <w:sz w:val="20"/>
              </w:rPr>
            </w:pPr>
          </w:p>
        </w:tc>
        <w:tc>
          <w:tcPr>
            <w:tcW w:w="3647" w:type="dxa"/>
            <w:shd w:val="clear" w:color="auto" w:fill="FFFF99"/>
          </w:tcPr>
          <w:p w14:paraId="59C8E32B" w14:textId="77777777" w:rsidR="00E7692B" w:rsidRPr="00522197" w:rsidRDefault="00E7692B" w:rsidP="000B7AA6">
            <w:pPr>
              <w:rPr>
                <w:sz w:val="20"/>
              </w:rPr>
            </w:pPr>
          </w:p>
        </w:tc>
      </w:tr>
    </w:tbl>
    <w:p w14:paraId="7965FC9B" w14:textId="77777777" w:rsidR="00E7692B" w:rsidRDefault="00E7692B" w:rsidP="000B7AA6">
      <w:pPr>
        <w:spacing w:after="0" w:line="240" w:lineRule="auto"/>
        <w:rPr>
          <w:b/>
        </w:rPr>
      </w:pPr>
    </w:p>
    <w:p w14:paraId="5898BB45" w14:textId="77777777" w:rsidR="00E7692B" w:rsidRDefault="00E7692B" w:rsidP="000B7AA6">
      <w:pPr>
        <w:spacing w:after="0" w:line="240" w:lineRule="auto"/>
        <w:rPr>
          <w:b/>
        </w:rPr>
      </w:pPr>
    </w:p>
    <w:p w14:paraId="765534BC" w14:textId="77777777" w:rsidR="008A05AB" w:rsidRDefault="008A05AB" w:rsidP="000B7AA6">
      <w:pPr>
        <w:spacing w:after="0" w:line="240" w:lineRule="auto"/>
        <w:rPr>
          <w:b/>
        </w:rPr>
      </w:pPr>
    </w:p>
    <w:p w14:paraId="3DD4F500" w14:textId="77777777" w:rsidR="008A05AB" w:rsidRDefault="008A05AB" w:rsidP="000B7AA6">
      <w:pPr>
        <w:spacing w:after="0" w:line="240" w:lineRule="auto"/>
        <w:rPr>
          <w:b/>
        </w:rPr>
      </w:pPr>
    </w:p>
    <w:p w14:paraId="2DC7DFA3" w14:textId="77777777" w:rsidR="008A05AB" w:rsidRDefault="008A05AB" w:rsidP="000B7AA6">
      <w:pPr>
        <w:spacing w:after="0" w:line="240" w:lineRule="auto"/>
        <w:rPr>
          <w:b/>
        </w:rPr>
      </w:pPr>
    </w:p>
    <w:p w14:paraId="67DB3380" w14:textId="77777777" w:rsidR="008A05AB" w:rsidRDefault="008A05AB" w:rsidP="000B7AA6">
      <w:pPr>
        <w:spacing w:after="0" w:line="240" w:lineRule="auto"/>
        <w:rPr>
          <w:b/>
        </w:rPr>
      </w:pPr>
    </w:p>
    <w:p w14:paraId="5F5393AF" w14:textId="77777777" w:rsidR="008A05AB" w:rsidRDefault="008A05AB" w:rsidP="000B7AA6">
      <w:pPr>
        <w:spacing w:after="0" w:line="240" w:lineRule="auto"/>
        <w:rPr>
          <w:b/>
        </w:rPr>
      </w:pPr>
    </w:p>
    <w:p w14:paraId="245586C7" w14:textId="77777777" w:rsidR="008A05AB" w:rsidRDefault="008A05AB" w:rsidP="000B7AA6">
      <w:pPr>
        <w:spacing w:after="0" w:line="240" w:lineRule="auto"/>
        <w:rPr>
          <w:b/>
        </w:rPr>
      </w:pPr>
    </w:p>
    <w:p w14:paraId="002050D8" w14:textId="77777777" w:rsidR="008A05AB" w:rsidRDefault="008A05AB" w:rsidP="000B7AA6">
      <w:pPr>
        <w:spacing w:after="0" w:line="240" w:lineRule="auto"/>
        <w:rPr>
          <w:b/>
        </w:rPr>
      </w:pPr>
    </w:p>
    <w:p w14:paraId="72CA2C0F" w14:textId="77777777" w:rsidR="00E7692B" w:rsidRPr="00E261A7" w:rsidRDefault="00E7692B" w:rsidP="000B7AA6">
      <w:pPr>
        <w:spacing w:after="0" w:line="240" w:lineRule="auto"/>
      </w:pPr>
      <w:r w:rsidRPr="00981280">
        <w:rPr>
          <w:b/>
        </w:rPr>
        <w:t>Annex B</w:t>
      </w:r>
      <w:r>
        <w:t xml:space="preserve"> - </w:t>
      </w:r>
      <w:r w:rsidRPr="00E261A7">
        <w:t>Budget per category</w:t>
      </w:r>
    </w:p>
    <w:p w14:paraId="51092121" w14:textId="77777777" w:rsidR="00E7692B" w:rsidRPr="00E261A7" w:rsidRDefault="00E7692B" w:rsidP="000B7AA6">
      <w:pPr>
        <w:shd w:val="clear" w:color="auto" w:fill="FFFFFF" w:themeFill="background1"/>
        <w:spacing w:after="0" w:line="240" w:lineRule="auto"/>
        <w:rPr>
          <w:rFonts w:asciiTheme="majorHAnsi" w:eastAsia="Times New Roman" w:hAnsiTheme="majorHAnsi"/>
          <w:b/>
          <w:sz w:val="24"/>
          <w:szCs w:val="24"/>
        </w:rPr>
      </w:pPr>
      <w:r w:rsidRPr="00E261A7">
        <w:rPr>
          <w:rFonts w:asciiTheme="majorHAnsi" w:eastAsia="Times New Roman" w:hAnsiTheme="majorHAnsi"/>
          <w:b/>
          <w:sz w:val="32"/>
          <w:szCs w:val="32"/>
        </w:rPr>
        <w:t> </w:t>
      </w:r>
    </w:p>
    <w:tbl>
      <w:tblPr>
        <w:tblpPr w:leftFromText="180" w:rightFromText="180" w:vertAnchor="text" w:tblpXSpec="cen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42"/>
        <w:gridCol w:w="2244"/>
      </w:tblGrid>
      <w:tr w:rsidR="00E7692B" w:rsidRPr="00522197" w14:paraId="3429CAFB" w14:textId="77777777" w:rsidTr="00434F65">
        <w:trPr>
          <w:trHeight w:val="468"/>
        </w:trPr>
        <w:tc>
          <w:tcPr>
            <w:tcW w:w="5442" w:type="dxa"/>
            <w:shd w:val="clear" w:color="auto" w:fill="BFBFBF" w:themeFill="background1" w:themeFillShade="BF"/>
            <w:tcMar>
              <w:top w:w="0" w:type="dxa"/>
              <w:left w:w="108" w:type="dxa"/>
              <w:bottom w:w="0" w:type="dxa"/>
              <w:right w:w="108" w:type="dxa"/>
            </w:tcMar>
            <w:vAlign w:val="center"/>
            <w:hideMark/>
          </w:tcPr>
          <w:p w14:paraId="6648C395" w14:textId="77777777" w:rsidR="00E7692B" w:rsidRPr="00522197" w:rsidRDefault="00E7692B" w:rsidP="000B7AA6">
            <w:pPr>
              <w:shd w:val="clear" w:color="auto" w:fill="BFBFBF" w:themeFill="background1" w:themeFillShade="BF"/>
              <w:rPr>
                <w:rFonts w:asciiTheme="majorHAnsi" w:eastAsia="Times New Roman" w:hAnsiTheme="majorHAnsi"/>
                <w:sz w:val="20"/>
                <w:szCs w:val="20"/>
              </w:rPr>
            </w:pPr>
            <w:r w:rsidRPr="00981280">
              <w:rPr>
                <w:rFonts w:asciiTheme="majorHAnsi" w:eastAsia="Times New Roman" w:hAnsiTheme="majorHAnsi"/>
                <w:b/>
                <w:bCs/>
                <w:spacing w:val="-3"/>
                <w:sz w:val="20"/>
                <w:szCs w:val="20"/>
                <w:lang w:val="en"/>
              </w:rPr>
              <w:t>UNDG Categories</w:t>
            </w:r>
          </w:p>
        </w:tc>
        <w:tc>
          <w:tcPr>
            <w:tcW w:w="2244" w:type="dxa"/>
            <w:shd w:val="clear" w:color="auto" w:fill="BFBFBF" w:themeFill="background1" w:themeFillShade="BF"/>
            <w:tcMar>
              <w:top w:w="0" w:type="dxa"/>
              <w:left w:w="10" w:type="dxa"/>
              <w:bottom w:w="0" w:type="dxa"/>
              <w:right w:w="10" w:type="dxa"/>
            </w:tcMar>
            <w:hideMark/>
          </w:tcPr>
          <w:p w14:paraId="108407BE" w14:textId="77777777" w:rsidR="00E7692B" w:rsidRPr="00522197" w:rsidRDefault="00E7692B" w:rsidP="000B7AA6">
            <w:pPr>
              <w:shd w:val="clear" w:color="auto" w:fill="BFBFBF" w:themeFill="background1" w:themeFillShade="BF"/>
              <w:rPr>
                <w:rFonts w:asciiTheme="majorHAnsi" w:eastAsia="Times New Roman" w:hAnsiTheme="majorHAnsi"/>
                <w:sz w:val="20"/>
                <w:szCs w:val="20"/>
              </w:rPr>
            </w:pPr>
            <w:r w:rsidRPr="00981280">
              <w:rPr>
                <w:rFonts w:asciiTheme="majorHAnsi" w:eastAsia="Times New Roman" w:hAnsiTheme="majorHAnsi"/>
                <w:b/>
                <w:bCs/>
                <w:spacing w:val="-3"/>
                <w:sz w:val="20"/>
                <w:szCs w:val="20"/>
                <w:lang w:val="en"/>
              </w:rPr>
              <w:t>Amount (US$)</w:t>
            </w:r>
          </w:p>
        </w:tc>
      </w:tr>
      <w:tr w:rsidR="00E7692B" w:rsidRPr="0064725E" w14:paraId="0A5B45D3" w14:textId="77777777" w:rsidTr="00434F65">
        <w:trPr>
          <w:trHeight w:val="339"/>
        </w:trPr>
        <w:tc>
          <w:tcPr>
            <w:tcW w:w="5442" w:type="dxa"/>
            <w:tcMar>
              <w:top w:w="0" w:type="dxa"/>
              <w:left w:w="108" w:type="dxa"/>
              <w:bottom w:w="0" w:type="dxa"/>
              <w:right w:w="108" w:type="dxa"/>
            </w:tcMar>
            <w:hideMark/>
          </w:tcPr>
          <w:p w14:paraId="425CD98C"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1. Staff and other personnel costs</w:t>
            </w:r>
          </w:p>
        </w:tc>
        <w:tc>
          <w:tcPr>
            <w:tcW w:w="2244" w:type="dxa"/>
            <w:tcMar>
              <w:top w:w="0" w:type="dxa"/>
              <w:left w:w="10" w:type="dxa"/>
              <w:bottom w:w="0" w:type="dxa"/>
              <w:right w:w="10" w:type="dxa"/>
            </w:tcMar>
            <w:hideMark/>
          </w:tcPr>
          <w:p w14:paraId="7F12ABF1" w14:textId="77777777" w:rsidR="00E7692B" w:rsidRPr="00981280" w:rsidRDefault="00E7692B" w:rsidP="000B7AA6">
            <w:pPr>
              <w:spacing w:after="0" w:line="240" w:lineRule="auto"/>
              <w:ind w:left="360"/>
              <w:rPr>
                <w:rFonts w:asciiTheme="majorHAnsi" w:eastAsia="Times New Roman" w:hAnsiTheme="majorHAnsi"/>
                <w:sz w:val="20"/>
                <w:szCs w:val="20"/>
              </w:rPr>
            </w:pPr>
          </w:p>
        </w:tc>
      </w:tr>
      <w:tr w:rsidR="00E7692B" w:rsidRPr="00981280" w14:paraId="7F911BE7" w14:textId="77777777" w:rsidTr="00434F65">
        <w:trPr>
          <w:trHeight w:val="550"/>
        </w:trPr>
        <w:tc>
          <w:tcPr>
            <w:tcW w:w="5442" w:type="dxa"/>
            <w:tcMar>
              <w:top w:w="0" w:type="dxa"/>
              <w:left w:w="108" w:type="dxa"/>
              <w:bottom w:w="0" w:type="dxa"/>
              <w:right w:w="108" w:type="dxa"/>
            </w:tcMar>
            <w:hideMark/>
          </w:tcPr>
          <w:p w14:paraId="6A925A22"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2. Supplies, Commodities and Materials</w:t>
            </w:r>
          </w:p>
        </w:tc>
        <w:tc>
          <w:tcPr>
            <w:tcW w:w="2244" w:type="dxa"/>
            <w:tcMar>
              <w:top w:w="0" w:type="dxa"/>
              <w:left w:w="10" w:type="dxa"/>
              <w:bottom w:w="0" w:type="dxa"/>
              <w:right w:w="10" w:type="dxa"/>
            </w:tcMar>
            <w:hideMark/>
          </w:tcPr>
          <w:p w14:paraId="0B98CA2F" w14:textId="77777777" w:rsidR="00E7692B" w:rsidRPr="00981280" w:rsidRDefault="00E7692B" w:rsidP="000B7AA6">
            <w:pPr>
              <w:ind w:left="90"/>
              <w:rPr>
                <w:rFonts w:asciiTheme="majorHAnsi" w:eastAsia="Times New Roman" w:hAnsiTheme="majorHAnsi"/>
                <w:sz w:val="20"/>
                <w:szCs w:val="20"/>
              </w:rPr>
            </w:pPr>
            <w:r w:rsidRPr="00981280">
              <w:rPr>
                <w:rFonts w:asciiTheme="majorHAnsi" w:eastAsia="Times New Roman" w:hAnsiTheme="majorHAnsi"/>
                <w:sz w:val="20"/>
                <w:szCs w:val="20"/>
              </w:rPr>
              <w:t> </w:t>
            </w:r>
          </w:p>
        </w:tc>
      </w:tr>
      <w:tr w:rsidR="00E7692B" w:rsidRPr="0064725E" w14:paraId="592C99DB" w14:textId="77777777" w:rsidTr="00434F65">
        <w:trPr>
          <w:trHeight w:val="331"/>
        </w:trPr>
        <w:tc>
          <w:tcPr>
            <w:tcW w:w="5442" w:type="dxa"/>
            <w:tcMar>
              <w:top w:w="0" w:type="dxa"/>
              <w:left w:w="108" w:type="dxa"/>
              <w:bottom w:w="0" w:type="dxa"/>
              <w:right w:w="108" w:type="dxa"/>
            </w:tcMar>
            <w:hideMark/>
          </w:tcPr>
          <w:p w14:paraId="7CE85AE9"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3. Equipment, Vehicles and Furniture, including Depreciation</w:t>
            </w:r>
          </w:p>
        </w:tc>
        <w:tc>
          <w:tcPr>
            <w:tcW w:w="2244" w:type="dxa"/>
            <w:tcMar>
              <w:top w:w="0" w:type="dxa"/>
              <w:left w:w="10" w:type="dxa"/>
              <w:bottom w:w="0" w:type="dxa"/>
              <w:right w:w="10" w:type="dxa"/>
            </w:tcMar>
            <w:hideMark/>
          </w:tcPr>
          <w:p w14:paraId="78F48F5B" w14:textId="77777777" w:rsidR="00E7692B" w:rsidRPr="00981280" w:rsidRDefault="00E7692B" w:rsidP="000B7AA6">
            <w:pPr>
              <w:spacing w:after="0" w:line="240" w:lineRule="auto"/>
              <w:ind w:left="450"/>
              <w:rPr>
                <w:rFonts w:asciiTheme="majorHAnsi" w:eastAsia="Times New Roman" w:hAnsiTheme="majorHAnsi"/>
                <w:sz w:val="20"/>
                <w:szCs w:val="20"/>
              </w:rPr>
            </w:pPr>
            <w:r w:rsidRPr="00981280">
              <w:rPr>
                <w:rFonts w:asciiTheme="majorHAnsi" w:eastAsia="Times New Roman" w:hAnsiTheme="majorHAnsi"/>
                <w:sz w:val="20"/>
                <w:szCs w:val="20"/>
              </w:rPr>
              <w:t> </w:t>
            </w:r>
          </w:p>
        </w:tc>
      </w:tr>
      <w:tr w:rsidR="00E7692B" w:rsidRPr="00981280" w14:paraId="733EF688" w14:textId="77777777" w:rsidTr="00434F65">
        <w:trPr>
          <w:trHeight w:val="267"/>
        </w:trPr>
        <w:tc>
          <w:tcPr>
            <w:tcW w:w="5442" w:type="dxa"/>
            <w:tcMar>
              <w:top w:w="0" w:type="dxa"/>
              <w:left w:w="108" w:type="dxa"/>
              <w:bottom w:w="0" w:type="dxa"/>
              <w:right w:w="108" w:type="dxa"/>
            </w:tcMar>
            <w:hideMark/>
          </w:tcPr>
          <w:p w14:paraId="1F1753E2"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4. Contractual Services</w:t>
            </w:r>
          </w:p>
        </w:tc>
        <w:tc>
          <w:tcPr>
            <w:tcW w:w="2244" w:type="dxa"/>
            <w:tcMar>
              <w:top w:w="0" w:type="dxa"/>
              <w:left w:w="10" w:type="dxa"/>
              <w:bottom w:w="0" w:type="dxa"/>
              <w:right w:w="10" w:type="dxa"/>
            </w:tcMar>
            <w:hideMark/>
          </w:tcPr>
          <w:p w14:paraId="5CF9B91A" w14:textId="77777777" w:rsidR="00E7692B" w:rsidRPr="00981280" w:rsidRDefault="00E7692B" w:rsidP="000B7AA6">
            <w:pPr>
              <w:spacing w:after="0" w:line="240" w:lineRule="auto"/>
              <w:ind w:left="450"/>
              <w:rPr>
                <w:rFonts w:asciiTheme="majorHAnsi" w:eastAsia="Times New Roman" w:hAnsiTheme="majorHAnsi"/>
                <w:sz w:val="20"/>
                <w:szCs w:val="20"/>
              </w:rPr>
            </w:pPr>
          </w:p>
        </w:tc>
      </w:tr>
      <w:tr w:rsidR="00E7692B" w:rsidRPr="00981280" w14:paraId="6C5D6F1B" w14:textId="77777777" w:rsidTr="00434F65">
        <w:trPr>
          <w:trHeight w:val="267"/>
        </w:trPr>
        <w:tc>
          <w:tcPr>
            <w:tcW w:w="5442" w:type="dxa"/>
            <w:tcMar>
              <w:top w:w="0" w:type="dxa"/>
              <w:left w:w="108" w:type="dxa"/>
              <w:bottom w:w="0" w:type="dxa"/>
              <w:right w:w="108" w:type="dxa"/>
            </w:tcMar>
            <w:hideMark/>
          </w:tcPr>
          <w:p w14:paraId="5184A250"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5. Travel</w:t>
            </w:r>
          </w:p>
        </w:tc>
        <w:tc>
          <w:tcPr>
            <w:tcW w:w="2244" w:type="dxa"/>
            <w:tcMar>
              <w:top w:w="0" w:type="dxa"/>
              <w:left w:w="10" w:type="dxa"/>
              <w:bottom w:w="0" w:type="dxa"/>
              <w:right w:w="10" w:type="dxa"/>
            </w:tcMar>
            <w:hideMark/>
          </w:tcPr>
          <w:p w14:paraId="6853A7E8" w14:textId="77777777" w:rsidR="00E7692B" w:rsidRPr="00981280" w:rsidRDefault="00E7692B" w:rsidP="000B7AA6">
            <w:pPr>
              <w:spacing w:after="0" w:line="240" w:lineRule="auto"/>
              <w:ind w:left="450"/>
              <w:rPr>
                <w:rFonts w:asciiTheme="majorHAnsi" w:eastAsia="Times New Roman" w:hAnsiTheme="majorHAnsi"/>
                <w:sz w:val="20"/>
                <w:szCs w:val="20"/>
              </w:rPr>
            </w:pPr>
          </w:p>
        </w:tc>
      </w:tr>
      <w:tr w:rsidR="00E7692B" w:rsidRPr="0064725E" w14:paraId="15D297E2" w14:textId="77777777" w:rsidTr="00434F65">
        <w:trPr>
          <w:trHeight w:val="331"/>
        </w:trPr>
        <w:tc>
          <w:tcPr>
            <w:tcW w:w="5442" w:type="dxa"/>
            <w:tcMar>
              <w:top w:w="0" w:type="dxa"/>
              <w:left w:w="108" w:type="dxa"/>
              <w:bottom w:w="0" w:type="dxa"/>
              <w:right w:w="108" w:type="dxa"/>
            </w:tcMar>
            <w:hideMark/>
          </w:tcPr>
          <w:p w14:paraId="577C5A5D"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6. Transfers and Grants to Counterparts</w:t>
            </w:r>
          </w:p>
        </w:tc>
        <w:tc>
          <w:tcPr>
            <w:tcW w:w="2244" w:type="dxa"/>
            <w:tcMar>
              <w:top w:w="0" w:type="dxa"/>
              <w:left w:w="10" w:type="dxa"/>
              <w:bottom w:w="0" w:type="dxa"/>
              <w:right w:w="10" w:type="dxa"/>
            </w:tcMar>
            <w:hideMark/>
          </w:tcPr>
          <w:p w14:paraId="58A38FDB" w14:textId="77777777" w:rsidR="00E7692B" w:rsidRPr="00981280" w:rsidRDefault="00E7692B" w:rsidP="000B7AA6">
            <w:pPr>
              <w:spacing w:after="0" w:line="240" w:lineRule="auto"/>
              <w:ind w:left="450"/>
              <w:rPr>
                <w:rFonts w:asciiTheme="majorHAnsi" w:eastAsia="Times New Roman" w:hAnsiTheme="majorHAnsi"/>
                <w:sz w:val="20"/>
                <w:szCs w:val="20"/>
              </w:rPr>
            </w:pPr>
            <w:r w:rsidRPr="00981280">
              <w:rPr>
                <w:rFonts w:asciiTheme="majorHAnsi" w:eastAsia="Times New Roman" w:hAnsiTheme="majorHAnsi"/>
                <w:sz w:val="20"/>
                <w:szCs w:val="20"/>
              </w:rPr>
              <w:t> </w:t>
            </w:r>
          </w:p>
        </w:tc>
      </w:tr>
      <w:tr w:rsidR="00E7692B" w:rsidRPr="0064725E" w14:paraId="062CC1F5" w14:textId="77777777" w:rsidTr="00434F65">
        <w:trPr>
          <w:trHeight w:val="331"/>
        </w:trPr>
        <w:tc>
          <w:tcPr>
            <w:tcW w:w="5442" w:type="dxa"/>
            <w:tcMar>
              <w:top w:w="0" w:type="dxa"/>
              <w:left w:w="108" w:type="dxa"/>
              <w:bottom w:w="0" w:type="dxa"/>
              <w:right w:w="108" w:type="dxa"/>
            </w:tcMar>
            <w:hideMark/>
          </w:tcPr>
          <w:p w14:paraId="4B196BFA"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7. General Operating Expenses and Other Direct Costs</w:t>
            </w:r>
          </w:p>
        </w:tc>
        <w:tc>
          <w:tcPr>
            <w:tcW w:w="2244" w:type="dxa"/>
            <w:tcMar>
              <w:top w:w="0" w:type="dxa"/>
              <w:left w:w="10" w:type="dxa"/>
              <w:bottom w:w="0" w:type="dxa"/>
              <w:right w:w="10" w:type="dxa"/>
            </w:tcMar>
            <w:hideMark/>
          </w:tcPr>
          <w:p w14:paraId="29503C79" w14:textId="77777777" w:rsidR="00E7692B" w:rsidRPr="00981280" w:rsidRDefault="00E7692B" w:rsidP="000B7AA6">
            <w:pPr>
              <w:spacing w:after="0" w:line="240" w:lineRule="auto"/>
              <w:ind w:left="450"/>
              <w:rPr>
                <w:rFonts w:asciiTheme="majorHAnsi" w:eastAsia="Times New Roman" w:hAnsiTheme="majorHAnsi"/>
                <w:sz w:val="20"/>
                <w:szCs w:val="20"/>
              </w:rPr>
            </w:pPr>
          </w:p>
        </w:tc>
      </w:tr>
      <w:tr w:rsidR="00E7692B" w:rsidRPr="00981280" w14:paraId="2D0812D8" w14:textId="77777777" w:rsidTr="00434F65">
        <w:trPr>
          <w:trHeight w:val="373"/>
        </w:trPr>
        <w:tc>
          <w:tcPr>
            <w:tcW w:w="5442" w:type="dxa"/>
            <w:tcMar>
              <w:top w:w="0" w:type="dxa"/>
              <w:left w:w="108" w:type="dxa"/>
              <w:bottom w:w="0" w:type="dxa"/>
              <w:right w:w="108" w:type="dxa"/>
            </w:tcMar>
          </w:tcPr>
          <w:p w14:paraId="7E1978DD" w14:textId="77777777" w:rsidR="00E7692B" w:rsidRPr="0064725E" w:rsidRDefault="00E7692B" w:rsidP="000B7AA6">
            <w:pPr>
              <w:spacing w:after="0" w:line="240" w:lineRule="auto"/>
              <w:rPr>
                <w:rFonts w:asciiTheme="majorHAnsi" w:eastAsia="Times New Roman" w:hAnsiTheme="majorHAnsi"/>
                <w:b/>
                <w:sz w:val="20"/>
                <w:szCs w:val="20"/>
                <w:lang w:val="en"/>
              </w:rPr>
            </w:pPr>
            <w:r w:rsidRPr="0064725E">
              <w:rPr>
                <w:rFonts w:asciiTheme="majorHAnsi" w:eastAsia="Times New Roman" w:hAnsiTheme="majorHAnsi"/>
                <w:b/>
                <w:sz w:val="20"/>
                <w:szCs w:val="20"/>
                <w:lang w:val="en"/>
              </w:rPr>
              <w:t>Sub-total</w:t>
            </w:r>
          </w:p>
        </w:tc>
        <w:tc>
          <w:tcPr>
            <w:tcW w:w="2244" w:type="dxa"/>
            <w:tcMar>
              <w:top w:w="0" w:type="dxa"/>
              <w:left w:w="10" w:type="dxa"/>
              <w:bottom w:w="0" w:type="dxa"/>
              <w:right w:w="10" w:type="dxa"/>
            </w:tcMar>
          </w:tcPr>
          <w:p w14:paraId="323EC493" w14:textId="77777777" w:rsidR="00E7692B" w:rsidRPr="00981280" w:rsidRDefault="00E7692B" w:rsidP="000B7AA6">
            <w:pPr>
              <w:spacing w:after="0" w:line="240" w:lineRule="auto"/>
              <w:ind w:left="450"/>
              <w:rPr>
                <w:rFonts w:asciiTheme="majorHAnsi" w:eastAsia="Times New Roman" w:hAnsiTheme="majorHAnsi"/>
                <w:sz w:val="20"/>
                <w:szCs w:val="20"/>
              </w:rPr>
            </w:pPr>
          </w:p>
        </w:tc>
      </w:tr>
      <w:tr w:rsidR="00E7692B" w:rsidRPr="00981280" w14:paraId="087E0F54" w14:textId="77777777" w:rsidTr="00434F65">
        <w:trPr>
          <w:trHeight w:val="373"/>
        </w:trPr>
        <w:tc>
          <w:tcPr>
            <w:tcW w:w="5442" w:type="dxa"/>
            <w:tcBorders>
              <w:bottom w:val="single" w:sz="8" w:space="0" w:color="auto"/>
            </w:tcBorders>
            <w:tcMar>
              <w:top w:w="0" w:type="dxa"/>
              <w:left w:w="108" w:type="dxa"/>
              <w:bottom w:w="0" w:type="dxa"/>
              <w:right w:w="108" w:type="dxa"/>
            </w:tcMar>
            <w:hideMark/>
          </w:tcPr>
          <w:p w14:paraId="29C7C156" w14:textId="77777777" w:rsidR="00E7692B" w:rsidRPr="00981280" w:rsidRDefault="00E7692B" w:rsidP="000B7AA6">
            <w:pPr>
              <w:spacing w:after="0" w:line="240" w:lineRule="auto"/>
              <w:rPr>
                <w:rFonts w:asciiTheme="majorHAnsi" w:eastAsia="Times New Roman" w:hAnsiTheme="majorHAnsi"/>
                <w:sz w:val="20"/>
                <w:szCs w:val="20"/>
              </w:rPr>
            </w:pPr>
            <w:r w:rsidRPr="00981280">
              <w:rPr>
                <w:rFonts w:asciiTheme="majorHAnsi" w:eastAsia="Times New Roman" w:hAnsiTheme="majorHAnsi"/>
                <w:sz w:val="20"/>
                <w:szCs w:val="20"/>
                <w:lang w:val="en"/>
              </w:rPr>
              <w:t>8. Indirect Support Costs</w:t>
            </w:r>
            <w:r>
              <w:rPr>
                <w:rFonts w:asciiTheme="majorHAnsi" w:eastAsia="Times New Roman" w:hAnsiTheme="majorHAnsi"/>
                <w:sz w:val="20"/>
                <w:szCs w:val="20"/>
                <w:lang w:val="en"/>
              </w:rPr>
              <w:t xml:space="preserve"> *</w:t>
            </w:r>
          </w:p>
        </w:tc>
        <w:tc>
          <w:tcPr>
            <w:tcW w:w="2244" w:type="dxa"/>
            <w:tcBorders>
              <w:bottom w:val="single" w:sz="8" w:space="0" w:color="auto"/>
            </w:tcBorders>
            <w:tcMar>
              <w:top w:w="0" w:type="dxa"/>
              <w:left w:w="10" w:type="dxa"/>
              <w:bottom w:w="0" w:type="dxa"/>
              <w:right w:w="10" w:type="dxa"/>
            </w:tcMar>
            <w:hideMark/>
          </w:tcPr>
          <w:p w14:paraId="6F50C40D" w14:textId="77777777" w:rsidR="00E7692B" w:rsidRPr="00981280" w:rsidRDefault="00E7692B" w:rsidP="000B7AA6">
            <w:pPr>
              <w:spacing w:after="0" w:line="240" w:lineRule="auto"/>
              <w:ind w:left="450"/>
              <w:rPr>
                <w:rFonts w:asciiTheme="majorHAnsi" w:eastAsia="Times New Roman" w:hAnsiTheme="majorHAnsi"/>
                <w:sz w:val="20"/>
                <w:szCs w:val="20"/>
              </w:rPr>
            </w:pPr>
          </w:p>
        </w:tc>
      </w:tr>
      <w:tr w:rsidR="00E7692B" w:rsidRPr="00981280" w14:paraId="317D765C" w14:textId="77777777" w:rsidTr="00434F65">
        <w:trPr>
          <w:trHeight w:val="357"/>
        </w:trPr>
        <w:tc>
          <w:tcPr>
            <w:tcW w:w="5442" w:type="dxa"/>
            <w:tcBorders>
              <w:bottom w:val="single" w:sz="4" w:space="0" w:color="auto"/>
            </w:tcBorders>
            <w:shd w:val="clear" w:color="auto" w:fill="BFBFBF" w:themeFill="background1" w:themeFillShade="BF"/>
            <w:tcMar>
              <w:top w:w="0" w:type="dxa"/>
              <w:left w:w="108" w:type="dxa"/>
              <w:bottom w:w="0" w:type="dxa"/>
              <w:right w:w="108" w:type="dxa"/>
            </w:tcMar>
            <w:vAlign w:val="center"/>
            <w:hideMark/>
          </w:tcPr>
          <w:p w14:paraId="671EAC81" w14:textId="77777777" w:rsidR="00E7692B" w:rsidRPr="00981280" w:rsidRDefault="00E7692B" w:rsidP="000B7AA6">
            <w:pPr>
              <w:rPr>
                <w:rFonts w:asciiTheme="majorHAnsi" w:eastAsia="Times New Roman" w:hAnsiTheme="majorHAnsi"/>
                <w:sz w:val="20"/>
                <w:szCs w:val="20"/>
              </w:rPr>
            </w:pPr>
            <w:r w:rsidRPr="00981280">
              <w:rPr>
                <w:rFonts w:asciiTheme="majorHAnsi" w:eastAsia="Times New Roman" w:hAnsiTheme="majorHAnsi"/>
                <w:b/>
                <w:bCs/>
                <w:sz w:val="20"/>
                <w:szCs w:val="20"/>
                <w:lang w:val="en"/>
              </w:rPr>
              <w:t>TOTAL</w:t>
            </w:r>
          </w:p>
        </w:tc>
        <w:tc>
          <w:tcPr>
            <w:tcW w:w="2244" w:type="dxa"/>
            <w:tcBorders>
              <w:bottom w:val="single" w:sz="4" w:space="0" w:color="auto"/>
            </w:tcBorders>
            <w:shd w:val="clear" w:color="auto" w:fill="BFBFBF" w:themeFill="background1" w:themeFillShade="BF"/>
            <w:tcMar>
              <w:top w:w="0" w:type="dxa"/>
              <w:left w:w="10" w:type="dxa"/>
              <w:bottom w:w="0" w:type="dxa"/>
              <w:right w:w="10" w:type="dxa"/>
            </w:tcMar>
            <w:hideMark/>
          </w:tcPr>
          <w:p w14:paraId="1ECCCA66" w14:textId="77777777" w:rsidR="00E7692B" w:rsidRPr="00981280" w:rsidRDefault="00E7692B" w:rsidP="000B7AA6">
            <w:pPr>
              <w:rPr>
                <w:rFonts w:asciiTheme="majorHAnsi" w:eastAsia="Times New Roman" w:hAnsiTheme="majorHAnsi"/>
                <w:sz w:val="20"/>
                <w:szCs w:val="20"/>
              </w:rPr>
            </w:pPr>
          </w:p>
        </w:tc>
      </w:tr>
      <w:tr w:rsidR="00E7692B" w:rsidRPr="0064725E" w14:paraId="6AFDB6E2" w14:textId="77777777" w:rsidTr="00434F65">
        <w:trPr>
          <w:trHeight w:val="357"/>
        </w:trPr>
        <w:tc>
          <w:tcPr>
            <w:tcW w:w="7686" w:type="dxa"/>
            <w:gridSpan w:val="2"/>
            <w:tcBorders>
              <w:top w:val="single" w:sz="4" w:space="0" w:color="auto"/>
              <w:left w:val="nil"/>
              <w:bottom w:val="nil"/>
              <w:right w:val="nil"/>
            </w:tcBorders>
            <w:shd w:val="clear" w:color="auto" w:fill="auto"/>
            <w:tcMar>
              <w:top w:w="0" w:type="dxa"/>
              <w:left w:w="108" w:type="dxa"/>
              <w:bottom w:w="0" w:type="dxa"/>
              <w:right w:w="108" w:type="dxa"/>
            </w:tcMar>
            <w:vAlign w:val="center"/>
          </w:tcPr>
          <w:p w14:paraId="35326FF4" w14:textId="77777777" w:rsidR="00E7692B" w:rsidRPr="0064725E" w:rsidRDefault="00E7692B" w:rsidP="000B7AA6">
            <w:pPr>
              <w:rPr>
                <w:rFonts w:asciiTheme="majorHAnsi" w:eastAsia="Times New Roman" w:hAnsiTheme="majorHAnsi"/>
                <w:sz w:val="20"/>
                <w:szCs w:val="20"/>
              </w:rPr>
            </w:pPr>
            <w:r>
              <w:rPr>
                <w:rFonts w:ascii="Times New Roman" w:eastAsia="Times New Roman" w:hAnsi="Times New Roman"/>
                <w:b/>
                <w:bCs/>
                <w:sz w:val="20"/>
                <w:szCs w:val="24"/>
              </w:rPr>
              <w:t>*</w:t>
            </w:r>
            <w:r w:rsidRPr="008B2936">
              <w:rPr>
                <w:rFonts w:ascii="Times New Roman" w:eastAsia="Times New Roman" w:hAnsi="Times New Roman"/>
                <w:i/>
                <w:sz w:val="18"/>
                <w:szCs w:val="18"/>
              </w:rPr>
              <w:t>The rate shall not exceed 7%</w:t>
            </w:r>
            <w:r>
              <w:rPr>
                <w:rFonts w:ascii="Times New Roman" w:eastAsia="Times New Roman" w:hAnsi="Times New Roman"/>
                <w:i/>
                <w:sz w:val="18"/>
                <w:szCs w:val="18"/>
              </w:rPr>
              <w:t xml:space="preserve"> of the total of categories 1-7</w:t>
            </w:r>
            <w:r w:rsidRPr="008B2936">
              <w:rPr>
                <w:rFonts w:ascii="Times New Roman" w:eastAsia="Times New Roman" w:hAnsi="Times New Roman"/>
                <w:i/>
                <w:sz w:val="18"/>
                <w:szCs w:val="18"/>
              </w:rPr>
              <w:t xml:space="preserve">.  Note that </w:t>
            </w:r>
            <w:r>
              <w:rPr>
                <w:rFonts w:ascii="Times New Roman" w:eastAsia="Times New Roman" w:hAnsi="Times New Roman"/>
                <w:i/>
                <w:sz w:val="18"/>
                <w:szCs w:val="18"/>
              </w:rPr>
              <w:t xml:space="preserve">PUNO/Implementing Partner </w:t>
            </w:r>
            <w:r w:rsidRPr="008B2936">
              <w:rPr>
                <w:rFonts w:ascii="Times New Roman" w:eastAsia="Times New Roman" w:hAnsi="Times New Roman"/>
                <w:i/>
                <w:sz w:val="18"/>
                <w:szCs w:val="18"/>
              </w:rPr>
              <w:t xml:space="preserve">-incurred direct project implementation costs should be charged to the relevant budget line, according to the </w:t>
            </w:r>
            <w:r>
              <w:rPr>
                <w:rFonts w:ascii="Times New Roman" w:eastAsia="Times New Roman" w:hAnsi="Times New Roman"/>
                <w:i/>
                <w:sz w:val="18"/>
                <w:szCs w:val="18"/>
              </w:rPr>
              <w:t xml:space="preserve"> PUNO/Implementing Partner </w:t>
            </w:r>
            <w:r w:rsidRPr="008B2936">
              <w:rPr>
                <w:rFonts w:ascii="Times New Roman" w:eastAsia="Times New Roman" w:hAnsi="Times New Roman"/>
                <w:i/>
                <w:sz w:val="18"/>
                <w:szCs w:val="18"/>
              </w:rPr>
              <w:t>s regulations, rules and procedures</w:t>
            </w:r>
          </w:p>
        </w:tc>
      </w:tr>
    </w:tbl>
    <w:p w14:paraId="225DF4BD" w14:textId="77777777" w:rsidR="001253D5" w:rsidRDefault="001253D5" w:rsidP="000B7AA6">
      <w:pPr>
        <w:spacing w:after="0"/>
      </w:pPr>
    </w:p>
    <w:p w14:paraId="0982BB39" w14:textId="7493253B" w:rsidR="00765A30" w:rsidRDefault="001253D5">
      <w:r>
        <w:br w:type="page"/>
      </w:r>
      <w:r w:rsidR="00E4104B" w:rsidRPr="00424263">
        <w:rPr>
          <w:b/>
        </w:rPr>
        <w:lastRenderedPageBreak/>
        <w:t>The</w:t>
      </w:r>
      <w:r w:rsidR="00E4104B">
        <w:t xml:space="preserve"> </w:t>
      </w:r>
      <w:r w:rsidR="001D584D">
        <w:rPr>
          <w:b/>
        </w:rPr>
        <w:t>WPHF’s</w:t>
      </w:r>
      <w:r w:rsidR="001D584D" w:rsidRPr="00424263">
        <w:rPr>
          <w:b/>
        </w:rPr>
        <w:t xml:space="preserve"> </w:t>
      </w:r>
      <w:r w:rsidR="00765A30" w:rsidRPr="00424263">
        <w:rPr>
          <w:b/>
        </w:rPr>
        <w:t xml:space="preserve">Results </w:t>
      </w:r>
      <w:r w:rsidR="00765A30">
        <w:rPr>
          <w:b/>
        </w:rPr>
        <w:t>Matrix</w:t>
      </w:r>
    </w:p>
    <w:p w14:paraId="775534E6" w14:textId="77777777" w:rsidR="00765A30" w:rsidRDefault="00765A30"/>
    <w:tbl>
      <w:tblPr>
        <w:tblStyle w:val="TableGrid"/>
        <w:tblW w:w="5000" w:type="pct"/>
        <w:tblLook w:val="04A0" w:firstRow="1" w:lastRow="0" w:firstColumn="1" w:lastColumn="0" w:noHBand="0" w:noVBand="1"/>
      </w:tblPr>
      <w:tblGrid>
        <w:gridCol w:w="3637"/>
        <w:gridCol w:w="1893"/>
        <w:gridCol w:w="1665"/>
        <w:gridCol w:w="1818"/>
        <w:gridCol w:w="1818"/>
        <w:gridCol w:w="2119"/>
      </w:tblGrid>
      <w:tr w:rsidR="00765A30" w:rsidRPr="00030607" w14:paraId="7B97FA45" w14:textId="77777777" w:rsidTr="00EF2EB7">
        <w:tc>
          <w:tcPr>
            <w:tcW w:w="5000" w:type="pct"/>
            <w:gridSpan w:val="6"/>
            <w:shd w:val="clear" w:color="auto" w:fill="BDD6EE" w:themeFill="accent1" w:themeFillTint="66"/>
          </w:tcPr>
          <w:p w14:paraId="1ADB486E" w14:textId="77777777" w:rsidR="00765A30" w:rsidRPr="00030607" w:rsidRDefault="00765A30" w:rsidP="00EF2EB7">
            <w:pPr>
              <w:pStyle w:val="NormalWeb"/>
              <w:spacing w:before="0" w:beforeAutospacing="0" w:after="0" w:afterAutospacing="0"/>
              <w:rPr>
                <w:rFonts w:asciiTheme="minorHAnsi" w:hAnsiTheme="minorHAnsi"/>
                <w:b/>
                <w:sz w:val="22"/>
                <w:szCs w:val="22"/>
              </w:rPr>
            </w:pPr>
            <w:r w:rsidRPr="00030607">
              <w:rPr>
                <w:rFonts w:asciiTheme="minorHAnsi" w:hAnsiTheme="minorHAnsi"/>
                <w:b/>
                <w:sz w:val="22"/>
                <w:szCs w:val="22"/>
              </w:rPr>
              <w:t xml:space="preserve">Impact:  More peaceful and gender equal societies </w:t>
            </w:r>
          </w:p>
          <w:p w14:paraId="69765496" w14:textId="77777777" w:rsidR="00765A30" w:rsidRPr="00030607" w:rsidRDefault="00765A30" w:rsidP="00EF2EB7">
            <w:pPr>
              <w:pStyle w:val="NormalWeb"/>
              <w:spacing w:before="0" w:beforeAutospacing="0" w:after="0" w:afterAutospacing="0"/>
              <w:rPr>
                <w:rFonts w:asciiTheme="minorHAnsi" w:hAnsiTheme="minorHAnsi"/>
                <w:b/>
                <w:color w:val="FF0000"/>
                <w:sz w:val="22"/>
                <w:szCs w:val="22"/>
              </w:rPr>
            </w:pPr>
          </w:p>
        </w:tc>
      </w:tr>
      <w:tr w:rsidR="00765A30" w:rsidRPr="004C1DC2" w14:paraId="3D851489" w14:textId="77777777" w:rsidTr="00EF2EB7">
        <w:tc>
          <w:tcPr>
            <w:tcW w:w="1404" w:type="pct"/>
            <w:shd w:val="clear" w:color="auto" w:fill="D9D9D9" w:themeFill="background1" w:themeFillShade="D9"/>
          </w:tcPr>
          <w:p w14:paraId="10692BF8" w14:textId="77777777" w:rsidR="00765A30" w:rsidRPr="004C1DC2" w:rsidRDefault="00765A30" w:rsidP="00EF2EB7">
            <w:pPr>
              <w:contextualSpacing/>
              <w:jc w:val="both"/>
              <w:rPr>
                <w:sz w:val="20"/>
                <w:szCs w:val="20"/>
              </w:rPr>
            </w:pPr>
            <w:r w:rsidRPr="004C1DC2">
              <w:rPr>
                <w:sz w:val="20"/>
                <w:szCs w:val="20"/>
              </w:rPr>
              <w:t>Impact Indicators</w:t>
            </w:r>
          </w:p>
        </w:tc>
        <w:tc>
          <w:tcPr>
            <w:tcW w:w="731" w:type="pct"/>
            <w:shd w:val="clear" w:color="auto" w:fill="D9D9D9" w:themeFill="background1" w:themeFillShade="D9"/>
          </w:tcPr>
          <w:p w14:paraId="2DC88929"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0142A8FD" w14:textId="77777777" w:rsidR="00765A30" w:rsidRPr="004C1DC2" w:rsidRDefault="00765A30" w:rsidP="00EF2EB7">
            <w:pPr>
              <w:contextualSpacing/>
              <w:rPr>
                <w:sz w:val="20"/>
                <w:szCs w:val="20"/>
              </w:rPr>
            </w:pPr>
            <w:r w:rsidRPr="004C1DC2">
              <w:rPr>
                <w:sz w:val="20"/>
                <w:szCs w:val="20"/>
              </w:rPr>
              <w:t>Target Year 1</w:t>
            </w:r>
          </w:p>
        </w:tc>
        <w:tc>
          <w:tcPr>
            <w:tcW w:w="702" w:type="pct"/>
            <w:shd w:val="clear" w:color="auto" w:fill="D9D9D9" w:themeFill="background1" w:themeFillShade="D9"/>
          </w:tcPr>
          <w:p w14:paraId="7559A323" w14:textId="77777777" w:rsidR="00765A30" w:rsidRPr="004C1DC2" w:rsidRDefault="00765A30" w:rsidP="00EF2EB7">
            <w:pPr>
              <w:contextualSpacing/>
              <w:rPr>
                <w:sz w:val="20"/>
                <w:szCs w:val="20"/>
              </w:rPr>
            </w:pPr>
            <w:r w:rsidRPr="004C1DC2">
              <w:rPr>
                <w:sz w:val="20"/>
                <w:szCs w:val="20"/>
              </w:rPr>
              <w:t>Target Year 2</w:t>
            </w:r>
          </w:p>
        </w:tc>
        <w:tc>
          <w:tcPr>
            <w:tcW w:w="702" w:type="pct"/>
            <w:shd w:val="clear" w:color="auto" w:fill="D9D9D9" w:themeFill="background1" w:themeFillShade="D9"/>
          </w:tcPr>
          <w:p w14:paraId="0AD45C85" w14:textId="77777777" w:rsidR="00765A30" w:rsidRPr="004C1DC2" w:rsidRDefault="00765A30" w:rsidP="00EF2EB7">
            <w:pPr>
              <w:contextualSpacing/>
              <w:rPr>
                <w:sz w:val="20"/>
                <w:szCs w:val="20"/>
              </w:rPr>
            </w:pPr>
            <w:r w:rsidRPr="004C1DC2">
              <w:rPr>
                <w:sz w:val="20"/>
                <w:szCs w:val="20"/>
              </w:rPr>
              <w:t>Target Year 3</w:t>
            </w:r>
          </w:p>
        </w:tc>
        <w:tc>
          <w:tcPr>
            <w:tcW w:w="819" w:type="pct"/>
            <w:shd w:val="clear" w:color="auto" w:fill="D9D9D9" w:themeFill="background1" w:themeFillShade="D9"/>
          </w:tcPr>
          <w:p w14:paraId="0FEE216D" w14:textId="77777777" w:rsidR="00765A30" w:rsidRPr="004C1DC2" w:rsidRDefault="00765A30" w:rsidP="00EF2EB7">
            <w:pPr>
              <w:contextualSpacing/>
              <w:rPr>
                <w:sz w:val="20"/>
                <w:szCs w:val="20"/>
              </w:rPr>
            </w:pPr>
            <w:r w:rsidRPr="004C1DC2">
              <w:rPr>
                <w:sz w:val="20"/>
                <w:szCs w:val="20"/>
              </w:rPr>
              <w:t xml:space="preserve">Means of Verification </w:t>
            </w:r>
          </w:p>
        </w:tc>
      </w:tr>
      <w:tr w:rsidR="00765A30" w:rsidRPr="004C1DC2" w14:paraId="1E0DC7FF" w14:textId="77777777" w:rsidTr="00EF2EB7">
        <w:tc>
          <w:tcPr>
            <w:tcW w:w="1404" w:type="pct"/>
          </w:tcPr>
          <w:p w14:paraId="35719F9E" w14:textId="77777777" w:rsidR="00765A30" w:rsidRPr="004C1DC2" w:rsidRDefault="00765A30" w:rsidP="00EF2EB7">
            <w:pPr>
              <w:contextualSpacing/>
              <w:jc w:val="both"/>
              <w:rPr>
                <w:sz w:val="20"/>
                <w:szCs w:val="20"/>
              </w:rPr>
            </w:pPr>
            <w:r w:rsidRPr="007441FC">
              <w:rPr>
                <w:sz w:val="20"/>
                <w:szCs w:val="20"/>
              </w:rPr>
              <w:t xml:space="preserve">Percentage of </w:t>
            </w:r>
            <w:r>
              <w:rPr>
                <w:sz w:val="20"/>
                <w:szCs w:val="20"/>
              </w:rPr>
              <w:t>women and girls</w:t>
            </w:r>
            <w:r w:rsidRPr="007441FC">
              <w:rPr>
                <w:sz w:val="20"/>
                <w:szCs w:val="20"/>
              </w:rPr>
              <w:t xml:space="preserve"> </w:t>
            </w:r>
            <w:r>
              <w:rPr>
                <w:sz w:val="20"/>
                <w:szCs w:val="20"/>
              </w:rPr>
              <w:t>that have experienced</w:t>
            </w:r>
            <w:r w:rsidRPr="007441FC">
              <w:rPr>
                <w:sz w:val="20"/>
                <w:szCs w:val="20"/>
              </w:rPr>
              <w:t xml:space="preserve"> physical, psychological or sexual violence in the previous 12 months</w:t>
            </w:r>
          </w:p>
        </w:tc>
        <w:tc>
          <w:tcPr>
            <w:tcW w:w="731" w:type="pct"/>
          </w:tcPr>
          <w:p w14:paraId="63052DB0" w14:textId="77777777" w:rsidR="00765A30" w:rsidRPr="004C1DC2" w:rsidRDefault="00765A30" w:rsidP="00EF2EB7">
            <w:pPr>
              <w:contextualSpacing/>
              <w:jc w:val="both"/>
              <w:rPr>
                <w:sz w:val="20"/>
                <w:szCs w:val="20"/>
              </w:rPr>
            </w:pPr>
          </w:p>
        </w:tc>
        <w:tc>
          <w:tcPr>
            <w:tcW w:w="643" w:type="pct"/>
          </w:tcPr>
          <w:p w14:paraId="58B6A91B" w14:textId="77777777" w:rsidR="00765A30" w:rsidRPr="004C1DC2" w:rsidRDefault="00765A30" w:rsidP="00EF2EB7">
            <w:pPr>
              <w:contextualSpacing/>
              <w:jc w:val="both"/>
              <w:rPr>
                <w:sz w:val="20"/>
                <w:szCs w:val="20"/>
              </w:rPr>
            </w:pPr>
          </w:p>
        </w:tc>
        <w:tc>
          <w:tcPr>
            <w:tcW w:w="702" w:type="pct"/>
          </w:tcPr>
          <w:p w14:paraId="7282476C" w14:textId="77777777" w:rsidR="00765A30" w:rsidRPr="004C1DC2" w:rsidRDefault="00765A30" w:rsidP="00EF2EB7">
            <w:pPr>
              <w:contextualSpacing/>
              <w:jc w:val="both"/>
              <w:rPr>
                <w:sz w:val="20"/>
                <w:szCs w:val="20"/>
              </w:rPr>
            </w:pPr>
          </w:p>
        </w:tc>
        <w:tc>
          <w:tcPr>
            <w:tcW w:w="702" w:type="pct"/>
          </w:tcPr>
          <w:p w14:paraId="0AFAF98B" w14:textId="77777777" w:rsidR="00765A30" w:rsidRPr="004C1DC2" w:rsidRDefault="00765A30" w:rsidP="00EF2EB7">
            <w:pPr>
              <w:contextualSpacing/>
              <w:jc w:val="both"/>
              <w:rPr>
                <w:sz w:val="20"/>
                <w:szCs w:val="20"/>
              </w:rPr>
            </w:pPr>
          </w:p>
        </w:tc>
        <w:tc>
          <w:tcPr>
            <w:tcW w:w="819" w:type="pct"/>
          </w:tcPr>
          <w:p w14:paraId="5943EDFC" w14:textId="77777777" w:rsidR="00765A30" w:rsidRPr="004C1DC2" w:rsidRDefault="00765A30" w:rsidP="00EF2EB7">
            <w:pPr>
              <w:contextualSpacing/>
              <w:jc w:val="both"/>
              <w:rPr>
                <w:sz w:val="20"/>
                <w:szCs w:val="20"/>
              </w:rPr>
            </w:pPr>
            <w:r>
              <w:rPr>
                <w:sz w:val="20"/>
                <w:szCs w:val="20"/>
              </w:rPr>
              <w:t>SDG indicator</w:t>
            </w:r>
          </w:p>
        </w:tc>
      </w:tr>
      <w:tr w:rsidR="00765A30" w:rsidRPr="004C1DC2" w14:paraId="003C6D76" w14:textId="77777777" w:rsidTr="00EF2EB7">
        <w:tc>
          <w:tcPr>
            <w:tcW w:w="1404" w:type="pct"/>
          </w:tcPr>
          <w:p w14:paraId="11BE4740" w14:textId="77777777" w:rsidR="00765A30" w:rsidRPr="004C1DC2" w:rsidRDefault="00765A30" w:rsidP="00EF2EB7">
            <w:pPr>
              <w:contextualSpacing/>
              <w:jc w:val="both"/>
              <w:rPr>
                <w:sz w:val="20"/>
                <w:szCs w:val="20"/>
              </w:rPr>
            </w:pPr>
            <w:r w:rsidRPr="007441FC">
              <w:rPr>
                <w:sz w:val="20"/>
                <w:szCs w:val="20"/>
              </w:rPr>
              <w:t>Proportion of positions (by sex) in public institutions (national and local legislatures, public service and judiciary) compared to national distributions</w:t>
            </w:r>
          </w:p>
        </w:tc>
        <w:tc>
          <w:tcPr>
            <w:tcW w:w="731" w:type="pct"/>
          </w:tcPr>
          <w:p w14:paraId="4BC00BE9" w14:textId="77777777" w:rsidR="00765A30" w:rsidRPr="004C1DC2" w:rsidRDefault="00765A30" w:rsidP="00EF2EB7">
            <w:pPr>
              <w:contextualSpacing/>
              <w:jc w:val="both"/>
              <w:rPr>
                <w:sz w:val="20"/>
                <w:szCs w:val="20"/>
              </w:rPr>
            </w:pPr>
          </w:p>
        </w:tc>
        <w:tc>
          <w:tcPr>
            <w:tcW w:w="643" w:type="pct"/>
          </w:tcPr>
          <w:p w14:paraId="2195C330" w14:textId="77777777" w:rsidR="00765A30" w:rsidRPr="004C1DC2" w:rsidRDefault="00765A30" w:rsidP="00EF2EB7">
            <w:pPr>
              <w:contextualSpacing/>
              <w:jc w:val="both"/>
              <w:rPr>
                <w:sz w:val="20"/>
                <w:szCs w:val="20"/>
              </w:rPr>
            </w:pPr>
          </w:p>
        </w:tc>
        <w:tc>
          <w:tcPr>
            <w:tcW w:w="702" w:type="pct"/>
          </w:tcPr>
          <w:p w14:paraId="096DBE3D" w14:textId="77777777" w:rsidR="00765A30" w:rsidRPr="004C1DC2" w:rsidRDefault="00765A30" w:rsidP="00EF2EB7">
            <w:pPr>
              <w:contextualSpacing/>
              <w:jc w:val="both"/>
              <w:rPr>
                <w:sz w:val="20"/>
                <w:szCs w:val="20"/>
              </w:rPr>
            </w:pPr>
          </w:p>
        </w:tc>
        <w:tc>
          <w:tcPr>
            <w:tcW w:w="702" w:type="pct"/>
          </w:tcPr>
          <w:p w14:paraId="5227EDAB" w14:textId="77777777" w:rsidR="00765A30" w:rsidRPr="004C1DC2" w:rsidRDefault="00765A30" w:rsidP="00EF2EB7">
            <w:pPr>
              <w:contextualSpacing/>
              <w:jc w:val="both"/>
              <w:rPr>
                <w:sz w:val="20"/>
                <w:szCs w:val="20"/>
              </w:rPr>
            </w:pPr>
          </w:p>
        </w:tc>
        <w:tc>
          <w:tcPr>
            <w:tcW w:w="819" w:type="pct"/>
          </w:tcPr>
          <w:p w14:paraId="60D5AC36" w14:textId="77777777" w:rsidR="00765A30" w:rsidRPr="004C1DC2" w:rsidRDefault="00765A30" w:rsidP="00EF2EB7">
            <w:pPr>
              <w:contextualSpacing/>
              <w:jc w:val="both"/>
              <w:rPr>
                <w:sz w:val="20"/>
                <w:szCs w:val="20"/>
              </w:rPr>
            </w:pPr>
            <w:r>
              <w:rPr>
                <w:sz w:val="20"/>
                <w:szCs w:val="20"/>
              </w:rPr>
              <w:t>SDG indicator</w:t>
            </w:r>
          </w:p>
        </w:tc>
      </w:tr>
      <w:tr w:rsidR="00765A30" w:rsidRPr="00980C4C" w14:paraId="404DD546" w14:textId="77777777" w:rsidTr="00EF2EB7">
        <w:tc>
          <w:tcPr>
            <w:tcW w:w="4181" w:type="pct"/>
            <w:gridSpan w:val="5"/>
            <w:shd w:val="clear" w:color="auto" w:fill="E2CADB"/>
          </w:tcPr>
          <w:p w14:paraId="293FF32D" w14:textId="77777777" w:rsidR="00765A30" w:rsidRDefault="00765A30" w:rsidP="00EF2EB7">
            <w:pPr>
              <w:contextualSpacing/>
              <w:jc w:val="both"/>
              <w:rPr>
                <w:sz w:val="20"/>
                <w:szCs w:val="20"/>
              </w:rPr>
            </w:pPr>
            <w:r>
              <w:rPr>
                <w:sz w:val="20"/>
                <w:szCs w:val="20"/>
              </w:rPr>
              <w:t>Overall Indicator</w:t>
            </w:r>
          </w:p>
        </w:tc>
        <w:tc>
          <w:tcPr>
            <w:tcW w:w="819" w:type="pct"/>
            <w:shd w:val="clear" w:color="auto" w:fill="E2CADB"/>
          </w:tcPr>
          <w:p w14:paraId="1560DEBE" w14:textId="77777777" w:rsidR="00765A30" w:rsidRPr="00831874" w:rsidRDefault="00765A30" w:rsidP="00EF2EB7">
            <w:pPr>
              <w:contextualSpacing/>
              <w:jc w:val="both"/>
              <w:rPr>
                <w:sz w:val="20"/>
                <w:szCs w:val="20"/>
                <w:lang w:val="fr-FR"/>
              </w:rPr>
            </w:pPr>
          </w:p>
        </w:tc>
      </w:tr>
      <w:tr w:rsidR="00765A30" w14:paraId="3D8ECFEF" w14:textId="77777777" w:rsidTr="00EF2EB7">
        <w:trPr>
          <w:trHeight w:val="1497"/>
        </w:trPr>
        <w:tc>
          <w:tcPr>
            <w:tcW w:w="1404" w:type="pct"/>
          </w:tcPr>
          <w:p w14:paraId="04FBA564" w14:textId="4C084CC2" w:rsidR="00765A30" w:rsidRPr="00E0510D" w:rsidRDefault="00765A30" w:rsidP="00EF2EB7">
            <w:r w:rsidRPr="00BE11E4">
              <w:rPr>
                <w:bCs/>
              </w:rPr>
              <w:t xml:space="preserve">Proportion of </w:t>
            </w:r>
            <w:r w:rsidR="001D584D">
              <w:rPr>
                <w:bCs/>
              </w:rPr>
              <w:t>WPHF</w:t>
            </w:r>
            <w:r w:rsidR="001D584D" w:rsidRPr="00BE11E4">
              <w:rPr>
                <w:bCs/>
              </w:rPr>
              <w:t xml:space="preserve"> </w:t>
            </w:r>
            <w:r w:rsidRPr="00BE11E4">
              <w:rPr>
                <w:bCs/>
              </w:rPr>
              <w:t>funds allocated to promoting interlinkages between crisis, peace and security and development settings (either through policy collaboration, partnerships or pooled funding). </w:t>
            </w:r>
          </w:p>
        </w:tc>
        <w:tc>
          <w:tcPr>
            <w:tcW w:w="731" w:type="pct"/>
          </w:tcPr>
          <w:p w14:paraId="4504A154" w14:textId="77777777" w:rsidR="00765A30" w:rsidRPr="004C1DC2" w:rsidRDefault="00765A30" w:rsidP="00EF2EB7">
            <w:pPr>
              <w:contextualSpacing/>
              <w:jc w:val="both"/>
              <w:rPr>
                <w:sz w:val="20"/>
                <w:szCs w:val="20"/>
              </w:rPr>
            </w:pPr>
          </w:p>
        </w:tc>
        <w:tc>
          <w:tcPr>
            <w:tcW w:w="643" w:type="pct"/>
          </w:tcPr>
          <w:p w14:paraId="5DADEF9A" w14:textId="77777777" w:rsidR="00765A30" w:rsidRPr="004C1DC2" w:rsidRDefault="00765A30" w:rsidP="00EF2EB7">
            <w:pPr>
              <w:contextualSpacing/>
              <w:jc w:val="both"/>
              <w:rPr>
                <w:sz w:val="20"/>
                <w:szCs w:val="20"/>
              </w:rPr>
            </w:pPr>
          </w:p>
        </w:tc>
        <w:tc>
          <w:tcPr>
            <w:tcW w:w="702" w:type="pct"/>
          </w:tcPr>
          <w:p w14:paraId="74CDC9D9" w14:textId="77777777" w:rsidR="00765A30" w:rsidRPr="004C1DC2" w:rsidRDefault="00765A30" w:rsidP="00EF2EB7">
            <w:pPr>
              <w:contextualSpacing/>
              <w:jc w:val="both"/>
              <w:rPr>
                <w:sz w:val="20"/>
                <w:szCs w:val="20"/>
              </w:rPr>
            </w:pPr>
          </w:p>
        </w:tc>
        <w:tc>
          <w:tcPr>
            <w:tcW w:w="702" w:type="pct"/>
          </w:tcPr>
          <w:p w14:paraId="15C5810C" w14:textId="77777777" w:rsidR="00765A30" w:rsidRPr="004C1DC2" w:rsidRDefault="00765A30" w:rsidP="00EF2EB7">
            <w:pPr>
              <w:contextualSpacing/>
              <w:jc w:val="both"/>
              <w:rPr>
                <w:sz w:val="20"/>
                <w:szCs w:val="20"/>
              </w:rPr>
            </w:pPr>
          </w:p>
        </w:tc>
        <w:tc>
          <w:tcPr>
            <w:tcW w:w="819" w:type="pct"/>
          </w:tcPr>
          <w:p w14:paraId="54F45C89" w14:textId="3A3CE4BE" w:rsidR="00765A30" w:rsidRDefault="00EB2917" w:rsidP="00EF2EB7">
            <w:pPr>
              <w:contextualSpacing/>
              <w:jc w:val="both"/>
              <w:rPr>
                <w:sz w:val="20"/>
                <w:szCs w:val="20"/>
              </w:rPr>
            </w:pPr>
            <w:r>
              <w:rPr>
                <w:sz w:val="20"/>
                <w:szCs w:val="20"/>
              </w:rPr>
              <w:t>WPHF</w:t>
            </w:r>
            <w:r w:rsidR="00765A30">
              <w:rPr>
                <w:sz w:val="20"/>
                <w:szCs w:val="20"/>
              </w:rPr>
              <w:t xml:space="preserve"> Reporting</w:t>
            </w:r>
          </w:p>
        </w:tc>
      </w:tr>
      <w:tr w:rsidR="00765A30" w:rsidRPr="002736D0" w14:paraId="486AD5EF" w14:textId="77777777" w:rsidTr="00EF2EB7">
        <w:tc>
          <w:tcPr>
            <w:tcW w:w="4181" w:type="pct"/>
            <w:gridSpan w:val="5"/>
            <w:shd w:val="clear" w:color="auto" w:fill="E2CADB"/>
          </w:tcPr>
          <w:p w14:paraId="2ACBC756" w14:textId="77777777" w:rsidR="00765A30" w:rsidRPr="004C1DC2" w:rsidRDefault="00765A30" w:rsidP="00EF2EB7">
            <w:pPr>
              <w:contextualSpacing/>
              <w:jc w:val="both"/>
              <w:rPr>
                <w:sz w:val="20"/>
                <w:szCs w:val="20"/>
              </w:rPr>
            </w:pPr>
            <w:r>
              <w:rPr>
                <w:sz w:val="20"/>
                <w:szCs w:val="20"/>
              </w:rPr>
              <w:t xml:space="preserve">Outcome 1: </w:t>
            </w:r>
            <w:r w:rsidRPr="007441FC">
              <w:rPr>
                <w:sz w:val="20"/>
                <w:szCs w:val="20"/>
              </w:rPr>
              <w:t>National strategies, financing and accountability mechanisms are in place for the implementation of women, peace and security commitments</w:t>
            </w:r>
          </w:p>
        </w:tc>
        <w:tc>
          <w:tcPr>
            <w:tcW w:w="819" w:type="pct"/>
            <w:shd w:val="clear" w:color="auto" w:fill="E2CADB"/>
          </w:tcPr>
          <w:p w14:paraId="66AAFAF7" w14:textId="77777777" w:rsidR="00765A30" w:rsidRPr="00831874" w:rsidRDefault="00765A30" w:rsidP="00EF2EB7">
            <w:pPr>
              <w:contextualSpacing/>
              <w:jc w:val="both"/>
              <w:rPr>
                <w:sz w:val="20"/>
                <w:szCs w:val="20"/>
                <w:lang w:val="fr-FR"/>
              </w:rPr>
            </w:pPr>
            <w:r w:rsidRPr="00831874">
              <w:rPr>
                <w:sz w:val="20"/>
                <w:szCs w:val="20"/>
                <w:lang w:val="fr-FR"/>
              </w:rPr>
              <w:t xml:space="preserve">Financial </w:t>
            </w:r>
            <w:r>
              <w:rPr>
                <w:sz w:val="20"/>
                <w:szCs w:val="20"/>
                <w:lang w:val="fr-FR"/>
              </w:rPr>
              <w:t>Investment</w:t>
            </w:r>
            <w:r w:rsidRPr="00831874">
              <w:rPr>
                <w:sz w:val="20"/>
                <w:szCs w:val="20"/>
                <w:lang w:val="fr-FR"/>
              </w:rPr>
              <w:t>: Y1- $XX; Y2 - XX;  Y3- XX</w:t>
            </w:r>
          </w:p>
        </w:tc>
      </w:tr>
      <w:tr w:rsidR="00765A30" w:rsidRPr="004C1DC2" w14:paraId="01387B17" w14:textId="77777777" w:rsidTr="00EF2EB7">
        <w:tc>
          <w:tcPr>
            <w:tcW w:w="1404" w:type="pct"/>
            <w:shd w:val="clear" w:color="auto" w:fill="D9D9D9" w:themeFill="background1" w:themeFillShade="D9"/>
          </w:tcPr>
          <w:p w14:paraId="459E037F" w14:textId="77777777" w:rsidR="00765A30" w:rsidRPr="004C1DC2" w:rsidRDefault="00765A30" w:rsidP="00EF2EB7">
            <w:pPr>
              <w:contextualSpacing/>
              <w:jc w:val="both"/>
              <w:rPr>
                <w:sz w:val="20"/>
                <w:szCs w:val="20"/>
              </w:rPr>
            </w:pPr>
            <w:r>
              <w:rPr>
                <w:sz w:val="20"/>
                <w:szCs w:val="20"/>
              </w:rPr>
              <w:t>Outcome indicators</w:t>
            </w:r>
          </w:p>
        </w:tc>
        <w:tc>
          <w:tcPr>
            <w:tcW w:w="731" w:type="pct"/>
            <w:shd w:val="clear" w:color="auto" w:fill="D9D9D9" w:themeFill="background1" w:themeFillShade="D9"/>
          </w:tcPr>
          <w:p w14:paraId="59F8F886"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3F632145" w14:textId="77777777" w:rsidR="00765A30" w:rsidRPr="004C1DC2" w:rsidRDefault="00765A30" w:rsidP="00EF2EB7">
            <w:pPr>
              <w:contextualSpacing/>
              <w:jc w:val="both"/>
              <w:rPr>
                <w:sz w:val="20"/>
                <w:szCs w:val="20"/>
              </w:rPr>
            </w:pPr>
            <w:r w:rsidRPr="004C1DC2">
              <w:rPr>
                <w:sz w:val="20"/>
                <w:szCs w:val="20"/>
              </w:rPr>
              <w:t>Target Year 1</w:t>
            </w:r>
          </w:p>
        </w:tc>
        <w:tc>
          <w:tcPr>
            <w:tcW w:w="702" w:type="pct"/>
            <w:shd w:val="clear" w:color="auto" w:fill="D9D9D9" w:themeFill="background1" w:themeFillShade="D9"/>
          </w:tcPr>
          <w:p w14:paraId="59001FD1" w14:textId="77777777" w:rsidR="00765A30" w:rsidRPr="004C1DC2" w:rsidRDefault="00765A30" w:rsidP="00EF2EB7">
            <w:pPr>
              <w:contextualSpacing/>
              <w:jc w:val="both"/>
              <w:rPr>
                <w:sz w:val="20"/>
                <w:szCs w:val="20"/>
              </w:rPr>
            </w:pPr>
            <w:r w:rsidRPr="004C1DC2">
              <w:rPr>
                <w:sz w:val="20"/>
                <w:szCs w:val="20"/>
              </w:rPr>
              <w:t>Target Year 2</w:t>
            </w:r>
          </w:p>
        </w:tc>
        <w:tc>
          <w:tcPr>
            <w:tcW w:w="702" w:type="pct"/>
            <w:shd w:val="clear" w:color="auto" w:fill="D9D9D9" w:themeFill="background1" w:themeFillShade="D9"/>
          </w:tcPr>
          <w:p w14:paraId="74D18743" w14:textId="77777777" w:rsidR="00765A30" w:rsidRPr="004C1DC2" w:rsidRDefault="00765A30" w:rsidP="00EF2EB7">
            <w:pPr>
              <w:contextualSpacing/>
              <w:jc w:val="both"/>
              <w:rPr>
                <w:sz w:val="20"/>
                <w:szCs w:val="20"/>
              </w:rPr>
            </w:pPr>
            <w:r w:rsidRPr="004C1DC2">
              <w:rPr>
                <w:sz w:val="20"/>
                <w:szCs w:val="20"/>
              </w:rPr>
              <w:t>Target Year 3</w:t>
            </w:r>
          </w:p>
        </w:tc>
        <w:tc>
          <w:tcPr>
            <w:tcW w:w="819" w:type="pct"/>
            <w:shd w:val="clear" w:color="auto" w:fill="D9D9D9" w:themeFill="background1" w:themeFillShade="D9"/>
          </w:tcPr>
          <w:p w14:paraId="253F1C96" w14:textId="77777777" w:rsidR="00765A30" w:rsidRPr="004C1DC2" w:rsidRDefault="00765A30" w:rsidP="00EF2EB7">
            <w:pPr>
              <w:contextualSpacing/>
              <w:jc w:val="both"/>
              <w:rPr>
                <w:sz w:val="20"/>
                <w:szCs w:val="20"/>
              </w:rPr>
            </w:pPr>
            <w:r w:rsidRPr="004C1DC2">
              <w:rPr>
                <w:sz w:val="20"/>
                <w:szCs w:val="20"/>
              </w:rPr>
              <w:t xml:space="preserve">Means of Verification </w:t>
            </w:r>
          </w:p>
        </w:tc>
      </w:tr>
      <w:tr w:rsidR="00765A30" w:rsidRPr="004C1DC2" w14:paraId="27C60CF5" w14:textId="77777777" w:rsidTr="00EF2EB7">
        <w:tc>
          <w:tcPr>
            <w:tcW w:w="1404" w:type="pct"/>
          </w:tcPr>
          <w:p w14:paraId="6ED6D79A" w14:textId="77777777" w:rsidR="00765A30" w:rsidRPr="004C1DC2" w:rsidRDefault="00765A30" w:rsidP="00EF2EB7">
            <w:pPr>
              <w:contextualSpacing/>
              <w:jc w:val="both"/>
              <w:rPr>
                <w:sz w:val="20"/>
                <w:szCs w:val="20"/>
              </w:rPr>
            </w:pPr>
            <w:r w:rsidRPr="007441FC">
              <w:rPr>
                <w:sz w:val="20"/>
                <w:szCs w:val="20"/>
              </w:rPr>
              <w:t>Whether or not National Action Plan on WPS  have indicators to monitor progress</w:t>
            </w:r>
          </w:p>
        </w:tc>
        <w:tc>
          <w:tcPr>
            <w:tcW w:w="731" w:type="pct"/>
          </w:tcPr>
          <w:p w14:paraId="431A1C44" w14:textId="77777777" w:rsidR="00765A30" w:rsidRPr="004C1DC2" w:rsidRDefault="00765A30" w:rsidP="00EF2EB7">
            <w:pPr>
              <w:contextualSpacing/>
              <w:jc w:val="both"/>
              <w:rPr>
                <w:sz w:val="20"/>
                <w:szCs w:val="20"/>
              </w:rPr>
            </w:pPr>
          </w:p>
        </w:tc>
        <w:tc>
          <w:tcPr>
            <w:tcW w:w="643" w:type="pct"/>
          </w:tcPr>
          <w:p w14:paraId="5BBB42AE" w14:textId="77777777" w:rsidR="00765A30" w:rsidRPr="004C1DC2" w:rsidRDefault="00765A30" w:rsidP="00EF2EB7">
            <w:pPr>
              <w:contextualSpacing/>
              <w:jc w:val="both"/>
              <w:rPr>
                <w:sz w:val="20"/>
                <w:szCs w:val="20"/>
              </w:rPr>
            </w:pPr>
          </w:p>
        </w:tc>
        <w:tc>
          <w:tcPr>
            <w:tcW w:w="702" w:type="pct"/>
          </w:tcPr>
          <w:p w14:paraId="39F9EF38" w14:textId="77777777" w:rsidR="00765A30" w:rsidRPr="004C1DC2" w:rsidRDefault="00765A30" w:rsidP="00EF2EB7">
            <w:pPr>
              <w:contextualSpacing/>
              <w:jc w:val="both"/>
              <w:rPr>
                <w:sz w:val="20"/>
                <w:szCs w:val="20"/>
              </w:rPr>
            </w:pPr>
          </w:p>
        </w:tc>
        <w:tc>
          <w:tcPr>
            <w:tcW w:w="702" w:type="pct"/>
          </w:tcPr>
          <w:p w14:paraId="445B014C" w14:textId="77777777" w:rsidR="00765A30" w:rsidRPr="004C1DC2" w:rsidRDefault="00765A30" w:rsidP="00EF2EB7">
            <w:pPr>
              <w:contextualSpacing/>
              <w:jc w:val="both"/>
              <w:rPr>
                <w:sz w:val="20"/>
                <w:szCs w:val="20"/>
              </w:rPr>
            </w:pPr>
          </w:p>
        </w:tc>
        <w:tc>
          <w:tcPr>
            <w:tcW w:w="819" w:type="pct"/>
          </w:tcPr>
          <w:p w14:paraId="724DA529" w14:textId="77777777" w:rsidR="00765A30" w:rsidRPr="004C1DC2" w:rsidRDefault="00765A30" w:rsidP="00EF2EB7">
            <w:pPr>
              <w:contextualSpacing/>
              <w:jc w:val="both"/>
              <w:rPr>
                <w:sz w:val="20"/>
                <w:szCs w:val="20"/>
              </w:rPr>
            </w:pPr>
            <w:r>
              <w:rPr>
                <w:sz w:val="20"/>
                <w:szCs w:val="20"/>
              </w:rPr>
              <w:t>Country reporting by UN Women</w:t>
            </w:r>
          </w:p>
        </w:tc>
      </w:tr>
      <w:tr w:rsidR="00765A30" w:rsidRPr="004C1DC2" w14:paraId="011E0BFF" w14:textId="77777777" w:rsidTr="00EF2EB7">
        <w:tc>
          <w:tcPr>
            <w:tcW w:w="1404" w:type="pct"/>
          </w:tcPr>
          <w:p w14:paraId="73EBDE9B" w14:textId="77777777" w:rsidR="00765A30" w:rsidRPr="004C1DC2" w:rsidRDefault="00765A30" w:rsidP="00EF2EB7">
            <w:pPr>
              <w:contextualSpacing/>
              <w:jc w:val="both"/>
              <w:rPr>
                <w:sz w:val="20"/>
                <w:szCs w:val="20"/>
              </w:rPr>
            </w:pPr>
            <w:r w:rsidRPr="007441FC">
              <w:rPr>
                <w:sz w:val="20"/>
                <w:szCs w:val="20"/>
              </w:rPr>
              <w:t>Proportion of the total bilateral sector-allocable ODA allocated to the country that targets gender equality and women's empowerment (principal and significant)</w:t>
            </w:r>
          </w:p>
        </w:tc>
        <w:tc>
          <w:tcPr>
            <w:tcW w:w="731" w:type="pct"/>
          </w:tcPr>
          <w:p w14:paraId="3AC7C4B7" w14:textId="77777777" w:rsidR="00765A30" w:rsidRPr="004C1DC2" w:rsidRDefault="00765A30" w:rsidP="00EF2EB7">
            <w:pPr>
              <w:contextualSpacing/>
              <w:jc w:val="both"/>
              <w:rPr>
                <w:sz w:val="20"/>
                <w:szCs w:val="20"/>
              </w:rPr>
            </w:pPr>
          </w:p>
        </w:tc>
        <w:tc>
          <w:tcPr>
            <w:tcW w:w="643" w:type="pct"/>
          </w:tcPr>
          <w:p w14:paraId="1CD2633E" w14:textId="77777777" w:rsidR="00765A30" w:rsidRPr="004C1DC2" w:rsidRDefault="00765A30" w:rsidP="00EF2EB7">
            <w:pPr>
              <w:contextualSpacing/>
              <w:jc w:val="both"/>
              <w:rPr>
                <w:sz w:val="20"/>
                <w:szCs w:val="20"/>
              </w:rPr>
            </w:pPr>
          </w:p>
        </w:tc>
        <w:tc>
          <w:tcPr>
            <w:tcW w:w="702" w:type="pct"/>
          </w:tcPr>
          <w:p w14:paraId="4E36154B" w14:textId="77777777" w:rsidR="00765A30" w:rsidRPr="004C1DC2" w:rsidRDefault="00765A30" w:rsidP="00EF2EB7">
            <w:pPr>
              <w:contextualSpacing/>
              <w:jc w:val="both"/>
              <w:rPr>
                <w:sz w:val="20"/>
                <w:szCs w:val="20"/>
              </w:rPr>
            </w:pPr>
          </w:p>
        </w:tc>
        <w:tc>
          <w:tcPr>
            <w:tcW w:w="702" w:type="pct"/>
          </w:tcPr>
          <w:p w14:paraId="0BDBBAF0" w14:textId="77777777" w:rsidR="00765A30" w:rsidRPr="004C1DC2" w:rsidRDefault="00765A30" w:rsidP="00EF2EB7">
            <w:pPr>
              <w:contextualSpacing/>
              <w:jc w:val="both"/>
              <w:rPr>
                <w:sz w:val="20"/>
                <w:szCs w:val="20"/>
              </w:rPr>
            </w:pPr>
          </w:p>
        </w:tc>
        <w:tc>
          <w:tcPr>
            <w:tcW w:w="819" w:type="pct"/>
          </w:tcPr>
          <w:p w14:paraId="079F30C1" w14:textId="77777777" w:rsidR="00765A30" w:rsidRPr="004C1DC2" w:rsidRDefault="00765A30" w:rsidP="00EF2EB7">
            <w:pPr>
              <w:contextualSpacing/>
              <w:jc w:val="both"/>
              <w:rPr>
                <w:sz w:val="20"/>
                <w:szCs w:val="20"/>
              </w:rPr>
            </w:pPr>
            <w:r>
              <w:rPr>
                <w:sz w:val="20"/>
                <w:szCs w:val="20"/>
              </w:rPr>
              <w:t>OECD data</w:t>
            </w:r>
          </w:p>
        </w:tc>
      </w:tr>
      <w:tr w:rsidR="00765A30" w:rsidRPr="002736D0" w14:paraId="2717836F" w14:textId="77777777" w:rsidTr="00EF2EB7">
        <w:tc>
          <w:tcPr>
            <w:tcW w:w="4181" w:type="pct"/>
            <w:gridSpan w:val="5"/>
            <w:shd w:val="clear" w:color="auto" w:fill="E2CADB"/>
          </w:tcPr>
          <w:p w14:paraId="78BEEBBB" w14:textId="77777777" w:rsidR="00765A30" w:rsidRPr="00831874" w:rsidRDefault="00765A30" w:rsidP="00EF2EB7">
            <w:pPr>
              <w:pStyle w:val="NormalWeb"/>
              <w:spacing w:before="0" w:beforeAutospacing="0"/>
              <w:rPr>
                <w:sz w:val="18"/>
                <w:szCs w:val="18"/>
              </w:rPr>
            </w:pPr>
            <w:r w:rsidRPr="00785EE1">
              <w:rPr>
                <w:rFonts w:asciiTheme="minorHAnsi" w:hAnsiTheme="minorHAnsi"/>
              </w:rPr>
              <w:t>Outcome 2:</w:t>
            </w:r>
            <w:r>
              <w:t xml:space="preserve"> </w:t>
            </w:r>
            <w:r w:rsidRPr="007441FC">
              <w:rPr>
                <w:rFonts w:ascii="Calibri" w:hAnsi="Calibri"/>
              </w:rPr>
              <w:t>National and regional conflict prevention systems are gender sensitive</w:t>
            </w:r>
          </w:p>
        </w:tc>
        <w:tc>
          <w:tcPr>
            <w:tcW w:w="819" w:type="pct"/>
            <w:shd w:val="clear" w:color="auto" w:fill="E2CADB"/>
          </w:tcPr>
          <w:p w14:paraId="4F666AAE" w14:textId="77777777" w:rsidR="00765A30" w:rsidRPr="00474F62" w:rsidRDefault="00765A30" w:rsidP="00EF2EB7">
            <w:pPr>
              <w:contextualSpacing/>
              <w:jc w:val="both"/>
              <w:rPr>
                <w:sz w:val="20"/>
                <w:szCs w:val="20"/>
                <w:lang w:val="fr-FR"/>
              </w:rPr>
            </w:pPr>
            <w:r w:rsidRPr="00474F62">
              <w:rPr>
                <w:sz w:val="20"/>
                <w:szCs w:val="20"/>
                <w:lang w:val="fr-FR"/>
              </w:rPr>
              <w:t xml:space="preserve">Financial </w:t>
            </w:r>
            <w:r>
              <w:rPr>
                <w:sz w:val="20"/>
                <w:szCs w:val="20"/>
                <w:lang w:val="fr-FR"/>
              </w:rPr>
              <w:t>Investment</w:t>
            </w:r>
            <w:r w:rsidRPr="00474F62">
              <w:rPr>
                <w:sz w:val="20"/>
                <w:szCs w:val="20"/>
                <w:lang w:val="fr-FR"/>
              </w:rPr>
              <w:t>: Y1- $XX; Y2 - XX;  Y3- XX</w:t>
            </w:r>
          </w:p>
        </w:tc>
      </w:tr>
      <w:tr w:rsidR="00765A30" w:rsidRPr="004C1DC2" w14:paraId="264907A2" w14:textId="77777777" w:rsidTr="00EF2EB7">
        <w:tc>
          <w:tcPr>
            <w:tcW w:w="1404" w:type="pct"/>
            <w:shd w:val="clear" w:color="auto" w:fill="D9D9D9" w:themeFill="background1" w:themeFillShade="D9"/>
          </w:tcPr>
          <w:p w14:paraId="4C19F438" w14:textId="77777777" w:rsidR="00765A30" w:rsidRPr="004C1DC2" w:rsidRDefault="00765A30" w:rsidP="00EF2EB7">
            <w:pPr>
              <w:contextualSpacing/>
              <w:jc w:val="both"/>
              <w:rPr>
                <w:sz w:val="20"/>
                <w:szCs w:val="20"/>
              </w:rPr>
            </w:pPr>
            <w:r>
              <w:rPr>
                <w:sz w:val="20"/>
                <w:szCs w:val="20"/>
              </w:rPr>
              <w:t>Outcome indicators</w:t>
            </w:r>
          </w:p>
        </w:tc>
        <w:tc>
          <w:tcPr>
            <w:tcW w:w="731" w:type="pct"/>
            <w:shd w:val="clear" w:color="auto" w:fill="D9D9D9" w:themeFill="background1" w:themeFillShade="D9"/>
          </w:tcPr>
          <w:p w14:paraId="1ABAD958"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0D30C603" w14:textId="77777777" w:rsidR="00765A30" w:rsidRPr="004C1DC2" w:rsidRDefault="00765A30" w:rsidP="00EF2EB7">
            <w:pPr>
              <w:contextualSpacing/>
              <w:jc w:val="both"/>
              <w:rPr>
                <w:sz w:val="20"/>
                <w:szCs w:val="20"/>
              </w:rPr>
            </w:pPr>
            <w:r w:rsidRPr="004C1DC2">
              <w:rPr>
                <w:sz w:val="20"/>
                <w:szCs w:val="20"/>
              </w:rPr>
              <w:t>Target Year 1</w:t>
            </w:r>
          </w:p>
        </w:tc>
        <w:tc>
          <w:tcPr>
            <w:tcW w:w="702" w:type="pct"/>
            <w:shd w:val="clear" w:color="auto" w:fill="D9D9D9" w:themeFill="background1" w:themeFillShade="D9"/>
          </w:tcPr>
          <w:p w14:paraId="232907AE" w14:textId="77777777" w:rsidR="00765A30" w:rsidRPr="004C1DC2" w:rsidRDefault="00765A30" w:rsidP="00EF2EB7">
            <w:pPr>
              <w:contextualSpacing/>
              <w:jc w:val="both"/>
              <w:rPr>
                <w:sz w:val="20"/>
                <w:szCs w:val="20"/>
              </w:rPr>
            </w:pPr>
            <w:r w:rsidRPr="004C1DC2">
              <w:rPr>
                <w:sz w:val="20"/>
                <w:szCs w:val="20"/>
              </w:rPr>
              <w:t>Target Year 2</w:t>
            </w:r>
          </w:p>
        </w:tc>
        <w:tc>
          <w:tcPr>
            <w:tcW w:w="702" w:type="pct"/>
            <w:shd w:val="clear" w:color="auto" w:fill="D9D9D9" w:themeFill="background1" w:themeFillShade="D9"/>
          </w:tcPr>
          <w:p w14:paraId="78186697" w14:textId="77777777" w:rsidR="00765A30" w:rsidRPr="004C1DC2" w:rsidRDefault="00765A30" w:rsidP="00EF2EB7">
            <w:pPr>
              <w:contextualSpacing/>
              <w:jc w:val="both"/>
              <w:rPr>
                <w:sz w:val="20"/>
                <w:szCs w:val="20"/>
              </w:rPr>
            </w:pPr>
            <w:r w:rsidRPr="004C1DC2">
              <w:rPr>
                <w:sz w:val="20"/>
                <w:szCs w:val="20"/>
              </w:rPr>
              <w:t>Target Year 3</w:t>
            </w:r>
          </w:p>
        </w:tc>
        <w:tc>
          <w:tcPr>
            <w:tcW w:w="819" w:type="pct"/>
            <w:shd w:val="clear" w:color="auto" w:fill="D9D9D9" w:themeFill="background1" w:themeFillShade="D9"/>
          </w:tcPr>
          <w:p w14:paraId="5B249A87" w14:textId="77777777" w:rsidR="00765A30" w:rsidRPr="004C1DC2" w:rsidRDefault="00765A30" w:rsidP="00EF2EB7">
            <w:pPr>
              <w:contextualSpacing/>
              <w:jc w:val="both"/>
              <w:rPr>
                <w:sz w:val="20"/>
                <w:szCs w:val="20"/>
              </w:rPr>
            </w:pPr>
            <w:r w:rsidRPr="004C1DC2">
              <w:rPr>
                <w:sz w:val="20"/>
                <w:szCs w:val="20"/>
              </w:rPr>
              <w:t xml:space="preserve">Means of Verification </w:t>
            </w:r>
          </w:p>
        </w:tc>
      </w:tr>
      <w:tr w:rsidR="00765A30" w:rsidRPr="004C1DC2" w14:paraId="18AA542E" w14:textId="77777777" w:rsidTr="00EF2EB7">
        <w:tc>
          <w:tcPr>
            <w:tcW w:w="1404" w:type="pct"/>
          </w:tcPr>
          <w:p w14:paraId="5AB69C7B" w14:textId="77777777" w:rsidR="00765A30" w:rsidRPr="007441FC" w:rsidRDefault="00765A30" w:rsidP="00EF2EB7">
            <w:pPr>
              <w:jc w:val="both"/>
              <w:rPr>
                <w:sz w:val="20"/>
                <w:szCs w:val="20"/>
              </w:rPr>
            </w:pPr>
            <w:r w:rsidRPr="007441FC">
              <w:rPr>
                <w:sz w:val="20"/>
                <w:szCs w:val="20"/>
              </w:rPr>
              <w:lastRenderedPageBreak/>
              <w:t>Proportion of early warning indicators that are gender specific</w:t>
            </w:r>
          </w:p>
        </w:tc>
        <w:tc>
          <w:tcPr>
            <w:tcW w:w="731" w:type="pct"/>
          </w:tcPr>
          <w:p w14:paraId="2A9DF13A" w14:textId="77777777" w:rsidR="00765A30" w:rsidRPr="004C1DC2" w:rsidRDefault="00765A30" w:rsidP="00EF2EB7">
            <w:pPr>
              <w:contextualSpacing/>
              <w:jc w:val="both"/>
              <w:rPr>
                <w:sz w:val="20"/>
                <w:szCs w:val="20"/>
              </w:rPr>
            </w:pPr>
          </w:p>
        </w:tc>
        <w:tc>
          <w:tcPr>
            <w:tcW w:w="643" w:type="pct"/>
          </w:tcPr>
          <w:p w14:paraId="083C100C" w14:textId="77777777" w:rsidR="00765A30" w:rsidRPr="004C1DC2" w:rsidRDefault="00765A30" w:rsidP="00EF2EB7">
            <w:pPr>
              <w:contextualSpacing/>
              <w:jc w:val="both"/>
              <w:rPr>
                <w:sz w:val="20"/>
                <w:szCs w:val="20"/>
              </w:rPr>
            </w:pPr>
          </w:p>
        </w:tc>
        <w:tc>
          <w:tcPr>
            <w:tcW w:w="702" w:type="pct"/>
          </w:tcPr>
          <w:p w14:paraId="034044E6" w14:textId="77777777" w:rsidR="00765A30" w:rsidRPr="004C1DC2" w:rsidRDefault="00765A30" w:rsidP="00EF2EB7">
            <w:pPr>
              <w:contextualSpacing/>
              <w:jc w:val="both"/>
              <w:rPr>
                <w:sz w:val="20"/>
                <w:szCs w:val="20"/>
              </w:rPr>
            </w:pPr>
          </w:p>
        </w:tc>
        <w:tc>
          <w:tcPr>
            <w:tcW w:w="702" w:type="pct"/>
          </w:tcPr>
          <w:p w14:paraId="539FE94B" w14:textId="77777777" w:rsidR="00765A30" w:rsidRPr="004C1DC2" w:rsidRDefault="00765A30" w:rsidP="00EF2EB7">
            <w:pPr>
              <w:contextualSpacing/>
              <w:jc w:val="both"/>
              <w:rPr>
                <w:sz w:val="20"/>
                <w:szCs w:val="20"/>
              </w:rPr>
            </w:pPr>
          </w:p>
        </w:tc>
        <w:tc>
          <w:tcPr>
            <w:tcW w:w="819" w:type="pct"/>
          </w:tcPr>
          <w:p w14:paraId="38C5D5DD" w14:textId="77777777" w:rsidR="00765A30" w:rsidRPr="004C1DC2" w:rsidRDefault="00765A30" w:rsidP="00EF2EB7">
            <w:pPr>
              <w:contextualSpacing/>
              <w:jc w:val="both"/>
              <w:rPr>
                <w:sz w:val="20"/>
                <w:szCs w:val="20"/>
              </w:rPr>
            </w:pPr>
            <w:r>
              <w:rPr>
                <w:sz w:val="20"/>
                <w:szCs w:val="20"/>
              </w:rPr>
              <w:t>Country reporting by UNDP and UN Women</w:t>
            </w:r>
          </w:p>
        </w:tc>
      </w:tr>
      <w:tr w:rsidR="00765A30" w:rsidRPr="004C1DC2" w14:paraId="4AD24067" w14:textId="77777777" w:rsidTr="00EF2EB7">
        <w:tc>
          <w:tcPr>
            <w:tcW w:w="1404" w:type="pct"/>
          </w:tcPr>
          <w:p w14:paraId="596C3AD5" w14:textId="77777777" w:rsidR="00765A30" w:rsidRPr="007441FC" w:rsidRDefault="00765A30" w:rsidP="00EF2EB7">
            <w:pPr>
              <w:jc w:val="both"/>
              <w:rPr>
                <w:sz w:val="20"/>
                <w:szCs w:val="20"/>
              </w:rPr>
            </w:pPr>
            <w:r>
              <w:rPr>
                <w:sz w:val="20"/>
                <w:szCs w:val="20"/>
              </w:rPr>
              <w:t>Number of cases of conflicts (e.g. familial, domestic, land, social, political, etc.) referred to local women mediators.</w:t>
            </w:r>
          </w:p>
        </w:tc>
        <w:tc>
          <w:tcPr>
            <w:tcW w:w="731" w:type="pct"/>
          </w:tcPr>
          <w:p w14:paraId="2819DA38" w14:textId="77777777" w:rsidR="00765A30" w:rsidRPr="004C1DC2" w:rsidRDefault="00765A30" w:rsidP="00EF2EB7">
            <w:pPr>
              <w:contextualSpacing/>
              <w:jc w:val="both"/>
              <w:rPr>
                <w:sz w:val="20"/>
                <w:szCs w:val="20"/>
              </w:rPr>
            </w:pPr>
          </w:p>
        </w:tc>
        <w:tc>
          <w:tcPr>
            <w:tcW w:w="643" w:type="pct"/>
          </w:tcPr>
          <w:p w14:paraId="02D54BD9" w14:textId="77777777" w:rsidR="00765A30" w:rsidRPr="004C1DC2" w:rsidRDefault="00765A30" w:rsidP="00EF2EB7">
            <w:pPr>
              <w:contextualSpacing/>
              <w:jc w:val="both"/>
              <w:rPr>
                <w:sz w:val="20"/>
                <w:szCs w:val="20"/>
              </w:rPr>
            </w:pPr>
          </w:p>
        </w:tc>
        <w:tc>
          <w:tcPr>
            <w:tcW w:w="702" w:type="pct"/>
          </w:tcPr>
          <w:p w14:paraId="4BCB6B78" w14:textId="77777777" w:rsidR="00765A30" w:rsidRPr="004C1DC2" w:rsidRDefault="00765A30" w:rsidP="00EF2EB7">
            <w:pPr>
              <w:contextualSpacing/>
              <w:jc w:val="both"/>
              <w:rPr>
                <w:sz w:val="20"/>
                <w:szCs w:val="20"/>
              </w:rPr>
            </w:pPr>
          </w:p>
        </w:tc>
        <w:tc>
          <w:tcPr>
            <w:tcW w:w="702" w:type="pct"/>
          </w:tcPr>
          <w:p w14:paraId="55E6B7CE" w14:textId="77777777" w:rsidR="00765A30" w:rsidRPr="004C1DC2" w:rsidRDefault="00765A30" w:rsidP="00EF2EB7">
            <w:pPr>
              <w:contextualSpacing/>
              <w:jc w:val="both"/>
              <w:rPr>
                <w:sz w:val="20"/>
                <w:szCs w:val="20"/>
              </w:rPr>
            </w:pPr>
          </w:p>
        </w:tc>
        <w:tc>
          <w:tcPr>
            <w:tcW w:w="819" w:type="pct"/>
          </w:tcPr>
          <w:p w14:paraId="0F26492F" w14:textId="0B5F671A" w:rsidR="00765A30" w:rsidRDefault="00E20849" w:rsidP="00EF2EB7">
            <w:pPr>
              <w:contextualSpacing/>
              <w:jc w:val="both"/>
              <w:rPr>
                <w:sz w:val="20"/>
                <w:szCs w:val="20"/>
              </w:rPr>
            </w:pPr>
            <w:r>
              <w:rPr>
                <w:sz w:val="20"/>
                <w:szCs w:val="20"/>
              </w:rPr>
              <w:t>WPHF</w:t>
            </w:r>
            <w:r w:rsidR="00765A30">
              <w:rPr>
                <w:sz w:val="20"/>
                <w:szCs w:val="20"/>
              </w:rPr>
              <w:t xml:space="preserve"> Reporting. Country reporting by UNDP and UN Women.</w:t>
            </w:r>
          </w:p>
        </w:tc>
      </w:tr>
      <w:tr w:rsidR="00765A30" w:rsidRPr="002736D0" w14:paraId="4FC08CEA" w14:textId="77777777" w:rsidTr="00EF2EB7">
        <w:tc>
          <w:tcPr>
            <w:tcW w:w="4181" w:type="pct"/>
            <w:gridSpan w:val="5"/>
            <w:shd w:val="clear" w:color="auto" w:fill="E2CADB"/>
          </w:tcPr>
          <w:p w14:paraId="7EFD8F53" w14:textId="77777777" w:rsidR="00765A30" w:rsidRPr="004C1DC2" w:rsidRDefault="00765A30" w:rsidP="00EF2EB7">
            <w:pPr>
              <w:contextualSpacing/>
              <w:jc w:val="both"/>
              <w:rPr>
                <w:sz w:val="20"/>
                <w:szCs w:val="20"/>
              </w:rPr>
            </w:pPr>
            <w:r>
              <w:rPr>
                <w:sz w:val="20"/>
                <w:szCs w:val="20"/>
              </w:rPr>
              <w:t xml:space="preserve">Outcome 3: </w:t>
            </w:r>
            <w:r w:rsidRPr="007441FC">
              <w:rPr>
                <w:sz w:val="20"/>
                <w:szCs w:val="20"/>
              </w:rPr>
              <w:t>Women and girls affected by crisis lead, participate in and benefit from relief and response efforts.</w:t>
            </w:r>
          </w:p>
        </w:tc>
        <w:tc>
          <w:tcPr>
            <w:tcW w:w="819" w:type="pct"/>
            <w:shd w:val="clear" w:color="auto" w:fill="E2CADB"/>
          </w:tcPr>
          <w:p w14:paraId="6070502C" w14:textId="77777777" w:rsidR="00765A30" w:rsidRPr="00474F62" w:rsidRDefault="00765A30" w:rsidP="00EF2EB7">
            <w:pPr>
              <w:contextualSpacing/>
              <w:jc w:val="both"/>
              <w:rPr>
                <w:sz w:val="20"/>
                <w:szCs w:val="20"/>
                <w:lang w:val="fr-FR"/>
              </w:rPr>
            </w:pPr>
            <w:r w:rsidRPr="00474F62">
              <w:rPr>
                <w:sz w:val="20"/>
                <w:szCs w:val="20"/>
                <w:lang w:val="fr-FR"/>
              </w:rPr>
              <w:t xml:space="preserve">Financial </w:t>
            </w:r>
            <w:r>
              <w:rPr>
                <w:sz w:val="20"/>
                <w:szCs w:val="20"/>
                <w:lang w:val="fr-FR"/>
              </w:rPr>
              <w:t>Investment</w:t>
            </w:r>
            <w:r w:rsidRPr="00474F62">
              <w:rPr>
                <w:sz w:val="20"/>
                <w:szCs w:val="20"/>
                <w:lang w:val="fr-FR"/>
              </w:rPr>
              <w:t>: Y1- $XX; Y2 - XX;  Y3- XX</w:t>
            </w:r>
          </w:p>
        </w:tc>
      </w:tr>
      <w:tr w:rsidR="00765A30" w:rsidRPr="004C1DC2" w14:paraId="6660A913" w14:textId="77777777" w:rsidTr="00EF2EB7">
        <w:tc>
          <w:tcPr>
            <w:tcW w:w="1404" w:type="pct"/>
            <w:shd w:val="clear" w:color="auto" w:fill="D9D9D9" w:themeFill="background1" w:themeFillShade="D9"/>
          </w:tcPr>
          <w:p w14:paraId="28EABA30" w14:textId="77777777" w:rsidR="00765A30" w:rsidRPr="004C1DC2" w:rsidRDefault="00765A30" w:rsidP="00EF2EB7">
            <w:pPr>
              <w:contextualSpacing/>
              <w:jc w:val="both"/>
              <w:rPr>
                <w:sz w:val="20"/>
                <w:szCs w:val="20"/>
              </w:rPr>
            </w:pPr>
            <w:r>
              <w:rPr>
                <w:sz w:val="20"/>
                <w:szCs w:val="20"/>
              </w:rPr>
              <w:t>Outcome indicators</w:t>
            </w:r>
          </w:p>
        </w:tc>
        <w:tc>
          <w:tcPr>
            <w:tcW w:w="731" w:type="pct"/>
            <w:shd w:val="clear" w:color="auto" w:fill="D9D9D9" w:themeFill="background1" w:themeFillShade="D9"/>
          </w:tcPr>
          <w:p w14:paraId="4FF57A5C"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1763FABC" w14:textId="77777777" w:rsidR="00765A30" w:rsidRPr="004C1DC2" w:rsidRDefault="00765A30" w:rsidP="00EF2EB7">
            <w:pPr>
              <w:contextualSpacing/>
              <w:jc w:val="both"/>
              <w:rPr>
                <w:sz w:val="20"/>
                <w:szCs w:val="20"/>
              </w:rPr>
            </w:pPr>
            <w:r w:rsidRPr="004C1DC2">
              <w:rPr>
                <w:sz w:val="20"/>
                <w:szCs w:val="20"/>
              </w:rPr>
              <w:t>Target Year 1</w:t>
            </w:r>
          </w:p>
        </w:tc>
        <w:tc>
          <w:tcPr>
            <w:tcW w:w="702" w:type="pct"/>
            <w:shd w:val="clear" w:color="auto" w:fill="D9D9D9" w:themeFill="background1" w:themeFillShade="D9"/>
          </w:tcPr>
          <w:p w14:paraId="7196B391" w14:textId="77777777" w:rsidR="00765A30" w:rsidRPr="004C1DC2" w:rsidRDefault="00765A30" w:rsidP="00EF2EB7">
            <w:pPr>
              <w:contextualSpacing/>
              <w:jc w:val="both"/>
              <w:rPr>
                <w:sz w:val="20"/>
                <w:szCs w:val="20"/>
              </w:rPr>
            </w:pPr>
            <w:r w:rsidRPr="004C1DC2">
              <w:rPr>
                <w:sz w:val="20"/>
                <w:szCs w:val="20"/>
              </w:rPr>
              <w:t>Target Year 2</w:t>
            </w:r>
          </w:p>
        </w:tc>
        <w:tc>
          <w:tcPr>
            <w:tcW w:w="702" w:type="pct"/>
            <w:shd w:val="clear" w:color="auto" w:fill="D9D9D9" w:themeFill="background1" w:themeFillShade="D9"/>
          </w:tcPr>
          <w:p w14:paraId="3D73C780" w14:textId="77777777" w:rsidR="00765A30" w:rsidRPr="004C1DC2" w:rsidRDefault="00765A30" w:rsidP="00EF2EB7">
            <w:pPr>
              <w:contextualSpacing/>
              <w:jc w:val="both"/>
              <w:rPr>
                <w:sz w:val="20"/>
                <w:szCs w:val="20"/>
              </w:rPr>
            </w:pPr>
            <w:r w:rsidRPr="004C1DC2">
              <w:rPr>
                <w:sz w:val="20"/>
                <w:szCs w:val="20"/>
              </w:rPr>
              <w:t>Target Year 3</w:t>
            </w:r>
          </w:p>
        </w:tc>
        <w:tc>
          <w:tcPr>
            <w:tcW w:w="819" w:type="pct"/>
            <w:shd w:val="clear" w:color="auto" w:fill="D9D9D9" w:themeFill="background1" w:themeFillShade="D9"/>
          </w:tcPr>
          <w:p w14:paraId="1DB93CDD" w14:textId="77777777" w:rsidR="00765A30" w:rsidRPr="004C1DC2" w:rsidRDefault="00765A30" w:rsidP="00EF2EB7">
            <w:pPr>
              <w:contextualSpacing/>
              <w:jc w:val="both"/>
              <w:rPr>
                <w:sz w:val="20"/>
                <w:szCs w:val="20"/>
              </w:rPr>
            </w:pPr>
            <w:r w:rsidRPr="004C1DC2">
              <w:rPr>
                <w:sz w:val="20"/>
                <w:szCs w:val="20"/>
              </w:rPr>
              <w:t xml:space="preserve">Means of Verification </w:t>
            </w:r>
          </w:p>
        </w:tc>
      </w:tr>
      <w:tr w:rsidR="00765A30" w:rsidRPr="004C1DC2" w14:paraId="4FD81E92" w14:textId="77777777" w:rsidTr="00EF2EB7">
        <w:tc>
          <w:tcPr>
            <w:tcW w:w="1404" w:type="pct"/>
          </w:tcPr>
          <w:p w14:paraId="25431FFC" w14:textId="77777777" w:rsidR="00765A30" w:rsidRPr="00C12525" w:rsidRDefault="00765A30" w:rsidP="00EF2EB7">
            <w:pPr>
              <w:jc w:val="both"/>
              <w:rPr>
                <w:sz w:val="20"/>
                <w:szCs w:val="20"/>
              </w:rPr>
            </w:pPr>
            <w:r w:rsidRPr="00C12525">
              <w:rPr>
                <w:sz w:val="20"/>
                <w:szCs w:val="20"/>
              </w:rPr>
              <w:t>Percentage of funding allocat</w:t>
            </w:r>
            <w:r>
              <w:rPr>
                <w:sz w:val="20"/>
                <w:szCs w:val="20"/>
              </w:rPr>
              <w:t>ed to gender responsive actions</w:t>
            </w:r>
          </w:p>
        </w:tc>
        <w:tc>
          <w:tcPr>
            <w:tcW w:w="731" w:type="pct"/>
          </w:tcPr>
          <w:p w14:paraId="1B2ED779" w14:textId="77777777" w:rsidR="00765A30" w:rsidRPr="004C1DC2" w:rsidRDefault="00765A30" w:rsidP="00EF2EB7">
            <w:pPr>
              <w:contextualSpacing/>
              <w:jc w:val="both"/>
              <w:rPr>
                <w:sz w:val="20"/>
                <w:szCs w:val="20"/>
              </w:rPr>
            </w:pPr>
          </w:p>
        </w:tc>
        <w:tc>
          <w:tcPr>
            <w:tcW w:w="643" w:type="pct"/>
          </w:tcPr>
          <w:p w14:paraId="6F0CF706" w14:textId="77777777" w:rsidR="00765A30" w:rsidRPr="004C1DC2" w:rsidRDefault="00765A30" w:rsidP="00EF2EB7">
            <w:pPr>
              <w:contextualSpacing/>
              <w:jc w:val="both"/>
              <w:rPr>
                <w:sz w:val="20"/>
                <w:szCs w:val="20"/>
              </w:rPr>
            </w:pPr>
          </w:p>
        </w:tc>
        <w:tc>
          <w:tcPr>
            <w:tcW w:w="702" w:type="pct"/>
          </w:tcPr>
          <w:p w14:paraId="5F6D989D" w14:textId="77777777" w:rsidR="00765A30" w:rsidRPr="004C1DC2" w:rsidRDefault="00765A30" w:rsidP="00EF2EB7">
            <w:pPr>
              <w:contextualSpacing/>
              <w:jc w:val="both"/>
              <w:rPr>
                <w:sz w:val="20"/>
                <w:szCs w:val="20"/>
              </w:rPr>
            </w:pPr>
          </w:p>
        </w:tc>
        <w:tc>
          <w:tcPr>
            <w:tcW w:w="702" w:type="pct"/>
          </w:tcPr>
          <w:p w14:paraId="0A84AD8F" w14:textId="77777777" w:rsidR="00765A30" w:rsidRPr="004C1DC2" w:rsidRDefault="00765A30" w:rsidP="00EF2EB7">
            <w:pPr>
              <w:contextualSpacing/>
              <w:jc w:val="both"/>
              <w:rPr>
                <w:sz w:val="20"/>
                <w:szCs w:val="20"/>
              </w:rPr>
            </w:pPr>
          </w:p>
        </w:tc>
        <w:tc>
          <w:tcPr>
            <w:tcW w:w="819" w:type="pct"/>
          </w:tcPr>
          <w:p w14:paraId="1F02F75B" w14:textId="77777777" w:rsidR="00765A30" w:rsidRPr="004C1DC2" w:rsidRDefault="00765A30" w:rsidP="00EF2EB7">
            <w:pPr>
              <w:contextualSpacing/>
              <w:jc w:val="both"/>
              <w:rPr>
                <w:sz w:val="20"/>
                <w:szCs w:val="20"/>
              </w:rPr>
            </w:pPr>
            <w:r>
              <w:rPr>
                <w:sz w:val="20"/>
                <w:szCs w:val="20"/>
              </w:rPr>
              <w:t>Financial Tracking Systems</w:t>
            </w:r>
          </w:p>
        </w:tc>
      </w:tr>
      <w:tr w:rsidR="00765A30" w:rsidRPr="004C1DC2" w14:paraId="4E3A6D43" w14:textId="77777777" w:rsidTr="00EF2EB7">
        <w:tc>
          <w:tcPr>
            <w:tcW w:w="1404" w:type="pct"/>
          </w:tcPr>
          <w:p w14:paraId="3119AFF1" w14:textId="77777777" w:rsidR="00765A30" w:rsidRPr="004C1DC2" w:rsidRDefault="00765A30" w:rsidP="00EF2EB7">
            <w:pPr>
              <w:jc w:val="both"/>
              <w:rPr>
                <w:sz w:val="20"/>
                <w:szCs w:val="20"/>
              </w:rPr>
            </w:pPr>
            <w:r w:rsidRPr="00C12525">
              <w:rPr>
                <w:sz w:val="20"/>
                <w:szCs w:val="20"/>
              </w:rPr>
              <w:t>Percentage of women benefiting from the humanitarian response</w:t>
            </w:r>
          </w:p>
        </w:tc>
        <w:tc>
          <w:tcPr>
            <w:tcW w:w="731" w:type="pct"/>
          </w:tcPr>
          <w:p w14:paraId="417F6F6A" w14:textId="77777777" w:rsidR="00765A30" w:rsidRPr="004C1DC2" w:rsidRDefault="00765A30" w:rsidP="00EF2EB7">
            <w:pPr>
              <w:contextualSpacing/>
              <w:jc w:val="both"/>
              <w:rPr>
                <w:sz w:val="20"/>
                <w:szCs w:val="20"/>
              </w:rPr>
            </w:pPr>
          </w:p>
        </w:tc>
        <w:tc>
          <w:tcPr>
            <w:tcW w:w="643" w:type="pct"/>
          </w:tcPr>
          <w:p w14:paraId="50E21E8E" w14:textId="77777777" w:rsidR="00765A30" w:rsidRPr="004C1DC2" w:rsidRDefault="00765A30" w:rsidP="00EF2EB7">
            <w:pPr>
              <w:contextualSpacing/>
              <w:jc w:val="both"/>
              <w:rPr>
                <w:sz w:val="20"/>
                <w:szCs w:val="20"/>
              </w:rPr>
            </w:pPr>
          </w:p>
        </w:tc>
        <w:tc>
          <w:tcPr>
            <w:tcW w:w="702" w:type="pct"/>
          </w:tcPr>
          <w:p w14:paraId="0DBB20C1" w14:textId="77777777" w:rsidR="00765A30" w:rsidRPr="004C1DC2" w:rsidRDefault="00765A30" w:rsidP="00EF2EB7">
            <w:pPr>
              <w:contextualSpacing/>
              <w:jc w:val="both"/>
              <w:rPr>
                <w:sz w:val="20"/>
                <w:szCs w:val="20"/>
              </w:rPr>
            </w:pPr>
          </w:p>
        </w:tc>
        <w:tc>
          <w:tcPr>
            <w:tcW w:w="702" w:type="pct"/>
          </w:tcPr>
          <w:p w14:paraId="5EE4468E" w14:textId="77777777" w:rsidR="00765A30" w:rsidRPr="004C1DC2" w:rsidRDefault="00765A30" w:rsidP="00EF2EB7">
            <w:pPr>
              <w:contextualSpacing/>
              <w:jc w:val="both"/>
              <w:rPr>
                <w:sz w:val="20"/>
                <w:szCs w:val="20"/>
              </w:rPr>
            </w:pPr>
          </w:p>
        </w:tc>
        <w:tc>
          <w:tcPr>
            <w:tcW w:w="819" w:type="pct"/>
          </w:tcPr>
          <w:p w14:paraId="7673A97F" w14:textId="77777777" w:rsidR="00765A30" w:rsidRPr="004C1DC2" w:rsidRDefault="00765A30" w:rsidP="00EF2EB7">
            <w:pPr>
              <w:contextualSpacing/>
              <w:rPr>
                <w:sz w:val="20"/>
                <w:szCs w:val="20"/>
              </w:rPr>
            </w:pPr>
            <w:r>
              <w:rPr>
                <w:sz w:val="20"/>
                <w:szCs w:val="20"/>
              </w:rPr>
              <w:t xml:space="preserve">SRP reports, country  reporting, reporting on WHS individual commitments and annual Secretary General’s Report on Strengthening the Coordination of Humanitarian Emergency Assistance of the United Nations </w:t>
            </w:r>
          </w:p>
        </w:tc>
      </w:tr>
      <w:tr w:rsidR="00765A30" w:rsidRPr="002736D0" w14:paraId="0EB2D9E2" w14:textId="77777777" w:rsidTr="00EF2EB7">
        <w:tc>
          <w:tcPr>
            <w:tcW w:w="4181" w:type="pct"/>
            <w:gridSpan w:val="5"/>
            <w:shd w:val="clear" w:color="auto" w:fill="E2CADB"/>
          </w:tcPr>
          <w:p w14:paraId="327E948F" w14:textId="77777777" w:rsidR="00765A30" w:rsidRPr="004C1DC2" w:rsidRDefault="00765A30" w:rsidP="00EF2EB7">
            <w:pPr>
              <w:contextualSpacing/>
              <w:jc w:val="both"/>
              <w:rPr>
                <w:sz w:val="20"/>
                <w:szCs w:val="20"/>
              </w:rPr>
            </w:pPr>
            <w:r>
              <w:rPr>
                <w:sz w:val="20"/>
                <w:szCs w:val="20"/>
              </w:rPr>
              <w:t xml:space="preserve">Outcome 4: </w:t>
            </w:r>
            <w:r w:rsidRPr="00C12525">
              <w:rPr>
                <w:sz w:val="20"/>
                <w:szCs w:val="20"/>
              </w:rPr>
              <w:t>Increased participation of women in formal and informal peace negotiations</w:t>
            </w:r>
          </w:p>
        </w:tc>
        <w:tc>
          <w:tcPr>
            <w:tcW w:w="819" w:type="pct"/>
            <w:shd w:val="clear" w:color="auto" w:fill="E2CADB"/>
          </w:tcPr>
          <w:p w14:paraId="3D15F709" w14:textId="77777777" w:rsidR="00765A30" w:rsidRPr="00474F62" w:rsidRDefault="00765A30" w:rsidP="00EF2EB7">
            <w:pPr>
              <w:contextualSpacing/>
              <w:jc w:val="both"/>
              <w:rPr>
                <w:sz w:val="20"/>
                <w:szCs w:val="20"/>
                <w:lang w:val="fr-FR"/>
              </w:rPr>
            </w:pPr>
            <w:r w:rsidRPr="00474F62">
              <w:rPr>
                <w:sz w:val="20"/>
                <w:szCs w:val="20"/>
                <w:lang w:val="fr-FR"/>
              </w:rPr>
              <w:t xml:space="preserve">Financial </w:t>
            </w:r>
            <w:r>
              <w:rPr>
                <w:sz w:val="20"/>
                <w:szCs w:val="20"/>
                <w:lang w:val="fr-FR"/>
              </w:rPr>
              <w:t>Investment</w:t>
            </w:r>
            <w:r w:rsidRPr="00474F62">
              <w:rPr>
                <w:sz w:val="20"/>
                <w:szCs w:val="20"/>
                <w:lang w:val="fr-FR"/>
              </w:rPr>
              <w:t>: Y1- $XX; Y2 - XX;  Y3- XX</w:t>
            </w:r>
          </w:p>
        </w:tc>
      </w:tr>
      <w:tr w:rsidR="00765A30" w:rsidRPr="004C1DC2" w14:paraId="2E57FF0E" w14:textId="77777777" w:rsidTr="00EF2EB7">
        <w:tc>
          <w:tcPr>
            <w:tcW w:w="1404" w:type="pct"/>
            <w:shd w:val="clear" w:color="auto" w:fill="D9D9D9" w:themeFill="background1" w:themeFillShade="D9"/>
          </w:tcPr>
          <w:p w14:paraId="7E5D5CC2" w14:textId="77777777" w:rsidR="00765A30" w:rsidRPr="004C1DC2" w:rsidRDefault="00765A30" w:rsidP="00EF2EB7">
            <w:pPr>
              <w:contextualSpacing/>
              <w:jc w:val="both"/>
              <w:rPr>
                <w:sz w:val="20"/>
                <w:szCs w:val="20"/>
              </w:rPr>
            </w:pPr>
            <w:r>
              <w:rPr>
                <w:sz w:val="20"/>
                <w:szCs w:val="20"/>
              </w:rPr>
              <w:t>Outcome indicators</w:t>
            </w:r>
          </w:p>
        </w:tc>
        <w:tc>
          <w:tcPr>
            <w:tcW w:w="731" w:type="pct"/>
            <w:shd w:val="clear" w:color="auto" w:fill="D9D9D9" w:themeFill="background1" w:themeFillShade="D9"/>
          </w:tcPr>
          <w:p w14:paraId="5EBC7E61"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00492B7B" w14:textId="77777777" w:rsidR="00765A30" w:rsidRPr="004C1DC2" w:rsidRDefault="00765A30" w:rsidP="00EF2EB7">
            <w:pPr>
              <w:contextualSpacing/>
              <w:jc w:val="both"/>
              <w:rPr>
                <w:sz w:val="20"/>
                <w:szCs w:val="20"/>
              </w:rPr>
            </w:pPr>
            <w:r w:rsidRPr="004C1DC2">
              <w:rPr>
                <w:sz w:val="20"/>
                <w:szCs w:val="20"/>
              </w:rPr>
              <w:t>Target Year 1</w:t>
            </w:r>
          </w:p>
        </w:tc>
        <w:tc>
          <w:tcPr>
            <w:tcW w:w="702" w:type="pct"/>
            <w:shd w:val="clear" w:color="auto" w:fill="D9D9D9" w:themeFill="background1" w:themeFillShade="D9"/>
          </w:tcPr>
          <w:p w14:paraId="1215B1CD" w14:textId="77777777" w:rsidR="00765A30" w:rsidRPr="004C1DC2" w:rsidRDefault="00765A30" w:rsidP="00EF2EB7">
            <w:pPr>
              <w:contextualSpacing/>
              <w:jc w:val="both"/>
              <w:rPr>
                <w:sz w:val="20"/>
                <w:szCs w:val="20"/>
              </w:rPr>
            </w:pPr>
            <w:r w:rsidRPr="004C1DC2">
              <w:rPr>
                <w:sz w:val="20"/>
                <w:szCs w:val="20"/>
              </w:rPr>
              <w:t>Target Year 2</w:t>
            </w:r>
          </w:p>
        </w:tc>
        <w:tc>
          <w:tcPr>
            <w:tcW w:w="702" w:type="pct"/>
            <w:shd w:val="clear" w:color="auto" w:fill="D9D9D9" w:themeFill="background1" w:themeFillShade="D9"/>
          </w:tcPr>
          <w:p w14:paraId="6552CE14" w14:textId="77777777" w:rsidR="00765A30" w:rsidRPr="004C1DC2" w:rsidRDefault="00765A30" w:rsidP="00EF2EB7">
            <w:pPr>
              <w:contextualSpacing/>
              <w:jc w:val="both"/>
              <w:rPr>
                <w:sz w:val="20"/>
                <w:szCs w:val="20"/>
              </w:rPr>
            </w:pPr>
            <w:r w:rsidRPr="004C1DC2">
              <w:rPr>
                <w:sz w:val="20"/>
                <w:szCs w:val="20"/>
              </w:rPr>
              <w:t>Target Year 3</w:t>
            </w:r>
          </w:p>
        </w:tc>
        <w:tc>
          <w:tcPr>
            <w:tcW w:w="819" w:type="pct"/>
            <w:shd w:val="clear" w:color="auto" w:fill="D9D9D9" w:themeFill="background1" w:themeFillShade="D9"/>
          </w:tcPr>
          <w:p w14:paraId="34B8BDD9" w14:textId="77777777" w:rsidR="00765A30" w:rsidRPr="004C1DC2" w:rsidRDefault="00765A30" w:rsidP="00EF2EB7">
            <w:pPr>
              <w:contextualSpacing/>
              <w:jc w:val="both"/>
              <w:rPr>
                <w:sz w:val="20"/>
                <w:szCs w:val="20"/>
              </w:rPr>
            </w:pPr>
            <w:r w:rsidRPr="004C1DC2">
              <w:rPr>
                <w:sz w:val="20"/>
                <w:szCs w:val="20"/>
              </w:rPr>
              <w:t xml:space="preserve">Means of Verification </w:t>
            </w:r>
          </w:p>
        </w:tc>
      </w:tr>
      <w:tr w:rsidR="00765A30" w:rsidRPr="004C1DC2" w14:paraId="625E8D45" w14:textId="77777777" w:rsidTr="00EF2EB7">
        <w:tc>
          <w:tcPr>
            <w:tcW w:w="1404" w:type="pct"/>
          </w:tcPr>
          <w:p w14:paraId="00E09208" w14:textId="77777777" w:rsidR="00765A30" w:rsidRPr="004C1DC2" w:rsidRDefault="00765A30" w:rsidP="00EF2EB7">
            <w:pPr>
              <w:tabs>
                <w:tab w:val="left" w:pos="1615"/>
                <w:tab w:val="right" w:pos="2012"/>
              </w:tabs>
              <w:contextualSpacing/>
              <w:jc w:val="both"/>
              <w:rPr>
                <w:sz w:val="20"/>
                <w:szCs w:val="20"/>
              </w:rPr>
            </w:pPr>
            <w:r w:rsidRPr="00C12525">
              <w:rPr>
                <w:sz w:val="20"/>
                <w:szCs w:val="20"/>
              </w:rPr>
              <w:t>Proportion of formal negotiators in peace processes taking place within the last 12 months that were women</w:t>
            </w:r>
            <w:r>
              <w:rPr>
                <w:sz w:val="20"/>
                <w:szCs w:val="20"/>
              </w:rPr>
              <w:tab/>
            </w:r>
          </w:p>
        </w:tc>
        <w:tc>
          <w:tcPr>
            <w:tcW w:w="731" w:type="pct"/>
          </w:tcPr>
          <w:p w14:paraId="424EFD7F" w14:textId="77777777" w:rsidR="00765A30" w:rsidRPr="004C1DC2" w:rsidRDefault="00765A30" w:rsidP="00EF2EB7">
            <w:pPr>
              <w:contextualSpacing/>
              <w:jc w:val="both"/>
              <w:rPr>
                <w:sz w:val="20"/>
                <w:szCs w:val="20"/>
              </w:rPr>
            </w:pPr>
          </w:p>
        </w:tc>
        <w:tc>
          <w:tcPr>
            <w:tcW w:w="643" w:type="pct"/>
          </w:tcPr>
          <w:p w14:paraId="6B5FBAA4" w14:textId="77777777" w:rsidR="00765A30" w:rsidRPr="004C1DC2" w:rsidRDefault="00765A30" w:rsidP="00EF2EB7">
            <w:pPr>
              <w:contextualSpacing/>
              <w:jc w:val="both"/>
              <w:rPr>
                <w:sz w:val="20"/>
                <w:szCs w:val="20"/>
              </w:rPr>
            </w:pPr>
          </w:p>
        </w:tc>
        <w:tc>
          <w:tcPr>
            <w:tcW w:w="702" w:type="pct"/>
          </w:tcPr>
          <w:p w14:paraId="52881226" w14:textId="77777777" w:rsidR="00765A30" w:rsidRPr="004C1DC2" w:rsidRDefault="00765A30" w:rsidP="00EF2EB7">
            <w:pPr>
              <w:contextualSpacing/>
              <w:jc w:val="both"/>
              <w:rPr>
                <w:sz w:val="20"/>
                <w:szCs w:val="20"/>
              </w:rPr>
            </w:pPr>
          </w:p>
        </w:tc>
        <w:tc>
          <w:tcPr>
            <w:tcW w:w="702" w:type="pct"/>
          </w:tcPr>
          <w:p w14:paraId="492D1D49" w14:textId="77777777" w:rsidR="00765A30" w:rsidRPr="004C1DC2" w:rsidRDefault="00765A30" w:rsidP="00EF2EB7">
            <w:pPr>
              <w:contextualSpacing/>
              <w:jc w:val="both"/>
              <w:rPr>
                <w:sz w:val="20"/>
                <w:szCs w:val="20"/>
              </w:rPr>
            </w:pPr>
          </w:p>
        </w:tc>
        <w:tc>
          <w:tcPr>
            <w:tcW w:w="819" w:type="pct"/>
          </w:tcPr>
          <w:p w14:paraId="62C95F6C" w14:textId="77777777" w:rsidR="00765A30" w:rsidRPr="004C1DC2" w:rsidRDefault="00765A30" w:rsidP="00EF2EB7">
            <w:pPr>
              <w:contextualSpacing/>
              <w:rPr>
                <w:sz w:val="20"/>
                <w:szCs w:val="20"/>
              </w:rPr>
            </w:pPr>
            <w:r w:rsidRPr="00C12525">
              <w:rPr>
                <w:sz w:val="20"/>
                <w:szCs w:val="20"/>
              </w:rPr>
              <w:t>Country reporting (for non UN led) and DPA reporting (for UN led agreements)</w:t>
            </w:r>
          </w:p>
        </w:tc>
      </w:tr>
      <w:tr w:rsidR="00765A30" w:rsidRPr="004C1DC2" w14:paraId="5E6656CF" w14:textId="77777777" w:rsidTr="00EF2EB7">
        <w:tc>
          <w:tcPr>
            <w:tcW w:w="1404" w:type="pct"/>
          </w:tcPr>
          <w:p w14:paraId="605E8481" w14:textId="77777777" w:rsidR="00765A30" w:rsidRPr="004C1DC2" w:rsidRDefault="00765A30" w:rsidP="00EF2EB7">
            <w:pPr>
              <w:contextualSpacing/>
              <w:jc w:val="both"/>
              <w:rPr>
                <w:sz w:val="20"/>
                <w:szCs w:val="20"/>
              </w:rPr>
            </w:pPr>
            <w:r w:rsidRPr="00C12525">
              <w:rPr>
                <w:sz w:val="20"/>
                <w:szCs w:val="20"/>
              </w:rPr>
              <w:t>Peace agreement has/doesn't have specific provisions to improve the security and status of women and girls</w:t>
            </w:r>
          </w:p>
        </w:tc>
        <w:tc>
          <w:tcPr>
            <w:tcW w:w="731" w:type="pct"/>
          </w:tcPr>
          <w:p w14:paraId="250E2D0B" w14:textId="77777777" w:rsidR="00765A30" w:rsidRPr="004C1DC2" w:rsidRDefault="00765A30" w:rsidP="00EF2EB7">
            <w:pPr>
              <w:contextualSpacing/>
              <w:jc w:val="both"/>
              <w:rPr>
                <w:sz w:val="20"/>
                <w:szCs w:val="20"/>
              </w:rPr>
            </w:pPr>
          </w:p>
        </w:tc>
        <w:tc>
          <w:tcPr>
            <w:tcW w:w="643" w:type="pct"/>
          </w:tcPr>
          <w:p w14:paraId="2BE2D338" w14:textId="77777777" w:rsidR="00765A30" w:rsidRPr="004C1DC2" w:rsidRDefault="00765A30" w:rsidP="00EF2EB7">
            <w:pPr>
              <w:contextualSpacing/>
              <w:jc w:val="both"/>
              <w:rPr>
                <w:sz w:val="20"/>
                <w:szCs w:val="20"/>
              </w:rPr>
            </w:pPr>
          </w:p>
        </w:tc>
        <w:tc>
          <w:tcPr>
            <w:tcW w:w="702" w:type="pct"/>
          </w:tcPr>
          <w:p w14:paraId="37CDC51D" w14:textId="77777777" w:rsidR="00765A30" w:rsidRPr="004C1DC2" w:rsidRDefault="00765A30" w:rsidP="00EF2EB7">
            <w:pPr>
              <w:contextualSpacing/>
              <w:jc w:val="both"/>
              <w:rPr>
                <w:sz w:val="20"/>
                <w:szCs w:val="20"/>
              </w:rPr>
            </w:pPr>
          </w:p>
        </w:tc>
        <w:tc>
          <w:tcPr>
            <w:tcW w:w="702" w:type="pct"/>
          </w:tcPr>
          <w:p w14:paraId="6C0FC518" w14:textId="77777777" w:rsidR="00765A30" w:rsidRPr="004C1DC2" w:rsidRDefault="00765A30" w:rsidP="00EF2EB7">
            <w:pPr>
              <w:contextualSpacing/>
              <w:jc w:val="both"/>
              <w:rPr>
                <w:sz w:val="20"/>
                <w:szCs w:val="20"/>
              </w:rPr>
            </w:pPr>
          </w:p>
        </w:tc>
        <w:tc>
          <w:tcPr>
            <w:tcW w:w="819" w:type="pct"/>
          </w:tcPr>
          <w:p w14:paraId="34092893" w14:textId="77777777" w:rsidR="00765A30" w:rsidRPr="004C1DC2" w:rsidRDefault="00765A30" w:rsidP="00EF2EB7">
            <w:pPr>
              <w:contextualSpacing/>
              <w:jc w:val="both"/>
              <w:rPr>
                <w:sz w:val="20"/>
                <w:szCs w:val="20"/>
              </w:rPr>
            </w:pPr>
            <w:r w:rsidRPr="00C12525">
              <w:rPr>
                <w:sz w:val="20"/>
                <w:szCs w:val="20"/>
              </w:rPr>
              <w:t>DPA &amp; UN Women</w:t>
            </w:r>
          </w:p>
        </w:tc>
      </w:tr>
      <w:tr w:rsidR="00765A30" w:rsidRPr="002736D0" w14:paraId="2B2AA7EF" w14:textId="77777777" w:rsidTr="00EF2EB7">
        <w:tc>
          <w:tcPr>
            <w:tcW w:w="4181" w:type="pct"/>
            <w:gridSpan w:val="5"/>
            <w:shd w:val="clear" w:color="auto" w:fill="E2CADB"/>
          </w:tcPr>
          <w:p w14:paraId="171D2103" w14:textId="77777777" w:rsidR="00765A30" w:rsidRPr="00C12525" w:rsidRDefault="00765A30" w:rsidP="00EF2EB7">
            <w:pPr>
              <w:pStyle w:val="NormalWeb"/>
              <w:spacing w:before="0" w:beforeAutospacing="0"/>
              <w:rPr>
                <w:rFonts w:ascii="Calibri" w:hAnsi="Calibri"/>
              </w:rPr>
            </w:pPr>
            <w:r w:rsidRPr="00C12525">
              <w:rPr>
                <w:rFonts w:ascii="Calibri" w:hAnsi="Calibri"/>
              </w:rPr>
              <w:t>Outcome 5</w:t>
            </w:r>
            <w:r w:rsidRPr="00831874">
              <w:rPr>
                <w:rFonts w:ascii="Calibri" w:hAnsi="Calibri"/>
              </w:rPr>
              <w:t xml:space="preserve">: </w:t>
            </w:r>
            <w:r w:rsidRPr="00C12525">
              <w:rPr>
                <w:rFonts w:ascii="Calibri" w:hAnsi="Calibri"/>
              </w:rPr>
              <w:t>Women and girls' safety and security are enhanced</w:t>
            </w:r>
          </w:p>
        </w:tc>
        <w:tc>
          <w:tcPr>
            <w:tcW w:w="819" w:type="pct"/>
            <w:shd w:val="clear" w:color="auto" w:fill="E2CADB"/>
          </w:tcPr>
          <w:p w14:paraId="53883373" w14:textId="77777777" w:rsidR="00765A30" w:rsidRPr="00474F62" w:rsidRDefault="00765A30" w:rsidP="00EF2EB7">
            <w:pPr>
              <w:contextualSpacing/>
              <w:jc w:val="both"/>
              <w:rPr>
                <w:sz w:val="20"/>
                <w:szCs w:val="20"/>
                <w:lang w:val="fr-FR"/>
              </w:rPr>
            </w:pPr>
            <w:r w:rsidRPr="00474F62">
              <w:rPr>
                <w:sz w:val="20"/>
                <w:szCs w:val="20"/>
                <w:lang w:val="fr-FR"/>
              </w:rPr>
              <w:t xml:space="preserve">Financial </w:t>
            </w:r>
            <w:r>
              <w:rPr>
                <w:sz w:val="20"/>
                <w:szCs w:val="20"/>
                <w:lang w:val="fr-FR"/>
              </w:rPr>
              <w:t>Investment</w:t>
            </w:r>
            <w:r w:rsidRPr="00474F62">
              <w:rPr>
                <w:sz w:val="20"/>
                <w:szCs w:val="20"/>
                <w:lang w:val="fr-FR"/>
              </w:rPr>
              <w:t>: Y1- $XX; Y2 - XX;  Y3- XX</w:t>
            </w:r>
          </w:p>
        </w:tc>
      </w:tr>
      <w:tr w:rsidR="00765A30" w:rsidRPr="004C1DC2" w14:paraId="6E02C7C1" w14:textId="77777777" w:rsidTr="00EF2EB7">
        <w:tc>
          <w:tcPr>
            <w:tcW w:w="1404" w:type="pct"/>
            <w:shd w:val="clear" w:color="auto" w:fill="D9D9D9" w:themeFill="background1" w:themeFillShade="D9"/>
          </w:tcPr>
          <w:p w14:paraId="1E79378B" w14:textId="77777777" w:rsidR="00765A30" w:rsidRPr="004C1DC2" w:rsidRDefault="00765A30" w:rsidP="00EF2EB7">
            <w:pPr>
              <w:contextualSpacing/>
              <w:jc w:val="both"/>
              <w:rPr>
                <w:sz w:val="20"/>
                <w:szCs w:val="20"/>
              </w:rPr>
            </w:pPr>
            <w:r>
              <w:rPr>
                <w:sz w:val="20"/>
                <w:szCs w:val="20"/>
              </w:rPr>
              <w:t>Outcome indicators</w:t>
            </w:r>
          </w:p>
        </w:tc>
        <w:tc>
          <w:tcPr>
            <w:tcW w:w="731" w:type="pct"/>
            <w:shd w:val="clear" w:color="auto" w:fill="D9D9D9" w:themeFill="background1" w:themeFillShade="D9"/>
          </w:tcPr>
          <w:p w14:paraId="2B54A06C"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689B094D" w14:textId="77777777" w:rsidR="00765A30" w:rsidRPr="004C1DC2" w:rsidRDefault="00765A30" w:rsidP="00EF2EB7">
            <w:pPr>
              <w:contextualSpacing/>
              <w:jc w:val="both"/>
              <w:rPr>
                <w:sz w:val="20"/>
                <w:szCs w:val="20"/>
              </w:rPr>
            </w:pPr>
            <w:r w:rsidRPr="004C1DC2">
              <w:rPr>
                <w:sz w:val="20"/>
                <w:szCs w:val="20"/>
              </w:rPr>
              <w:t>Target Year 1</w:t>
            </w:r>
          </w:p>
        </w:tc>
        <w:tc>
          <w:tcPr>
            <w:tcW w:w="702" w:type="pct"/>
            <w:shd w:val="clear" w:color="auto" w:fill="D9D9D9" w:themeFill="background1" w:themeFillShade="D9"/>
          </w:tcPr>
          <w:p w14:paraId="1EC0C669" w14:textId="77777777" w:rsidR="00765A30" w:rsidRPr="004C1DC2" w:rsidRDefault="00765A30" w:rsidP="00EF2EB7">
            <w:pPr>
              <w:contextualSpacing/>
              <w:jc w:val="both"/>
              <w:rPr>
                <w:sz w:val="20"/>
                <w:szCs w:val="20"/>
              </w:rPr>
            </w:pPr>
            <w:r w:rsidRPr="004C1DC2">
              <w:rPr>
                <w:sz w:val="20"/>
                <w:szCs w:val="20"/>
              </w:rPr>
              <w:t>Target Year 2</w:t>
            </w:r>
          </w:p>
        </w:tc>
        <w:tc>
          <w:tcPr>
            <w:tcW w:w="702" w:type="pct"/>
            <w:shd w:val="clear" w:color="auto" w:fill="D9D9D9" w:themeFill="background1" w:themeFillShade="D9"/>
          </w:tcPr>
          <w:p w14:paraId="64887226" w14:textId="77777777" w:rsidR="00765A30" w:rsidRPr="004C1DC2" w:rsidRDefault="00765A30" w:rsidP="00EF2EB7">
            <w:pPr>
              <w:contextualSpacing/>
              <w:jc w:val="both"/>
              <w:rPr>
                <w:sz w:val="20"/>
                <w:szCs w:val="20"/>
              </w:rPr>
            </w:pPr>
            <w:r w:rsidRPr="004C1DC2">
              <w:rPr>
                <w:sz w:val="20"/>
                <w:szCs w:val="20"/>
              </w:rPr>
              <w:t>Target Year 3</w:t>
            </w:r>
          </w:p>
        </w:tc>
        <w:tc>
          <w:tcPr>
            <w:tcW w:w="819" w:type="pct"/>
            <w:shd w:val="clear" w:color="auto" w:fill="D9D9D9" w:themeFill="background1" w:themeFillShade="D9"/>
          </w:tcPr>
          <w:p w14:paraId="61900AFF" w14:textId="77777777" w:rsidR="00765A30" w:rsidRPr="004C1DC2" w:rsidRDefault="00765A30" w:rsidP="00EF2EB7">
            <w:pPr>
              <w:contextualSpacing/>
              <w:jc w:val="both"/>
              <w:rPr>
                <w:sz w:val="20"/>
                <w:szCs w:val="20"/>
              </w:rPr>
            </w:pPr>
            <w:r w:rsidRPr="004C1DC2">
              <w:rPr>
                <w:sz w:val="20"/>
                <w:szCs w:val="20"/>
              </w:rPr>
              <w:t xml:space="preserve">Means of Verification </w:t>
            </w:r>
          </w:p>
        </w:tc>
      </w:tr>
      <w:tr w:rsidR="00765A30" w:rsidRPr="004C1DC2" w14:paraId="590DAAC1" w14:textId="77777777" w:rsidTr="00EF2EB7">
        <w:tc>
          <w:tcPr>
            <w:tcW w:w="1404" w:type="pct"/>
          </w:tcPr>
          <w:p w14:paraId="7BB61F43" w14:textId="77777777" w:rsidR="00765A30" w:rsidRPr="00117300" w:rsidRDefault="00765A30" w:rsidP="00EF2EB7">
            <w:pPr>
              <w:jc w:val="both"/>
              <w:rPr>
                <w:sz w:val="20"/>
                <w:szCs w:val="20"/>
              </w:rPr>
            </w:pPr>
            <w:r w:rsidRPr="00C12525">
              <w:rPr>
                <w:sz w:val="20"/>
                <w:szCs w:val="20"/>
              </w:rPr>
              <w:lastRenderedPageBreak/>
              <w:t>Proportion of personnel in national security and justice institutions that are women</w:t>
            </w:r>
          </w:p>
        </w:tc>
        <w:tc>
          <w:tcPr>
            <w:tcW w:w="731" w:type="pct"/>
          </w:tcPr>
          <w:p w14:paraId="14DA39C4" w14:textId="77777777" w:rsidR="00765A30" w:rsidRPr="004C1DC2" w:rsidRDefault="00765A30" w:rsidP="00EF2EB7">
            <w:pPr>
              <w:contextualSpacing/>
              <w:jc w:val="both"/>
              <w:rPr>
                <w:sz w:val="20"/>
                <w:szCs w:val="20"/>
              </w:rPr>
            </w:pPr>
          </w:p>
        </w:tc>
        <w:tc>
          <w:tcPr>
            <w:tcW w:w="643" w:type="pct"/>
          </w:tcPr>
          <w:p w14:paraId="12E6C163" w14:textId="77777777" w:rsidR="00765A30" w:rsidRPr="004C1DC2" w:rsidRDefault="00765A30" w:rsidP="00EF2EB7">
            <w:pPr>
              <w:contextualSpacing/>
              <w:jc w:val="both"/>
              <w:rPr>
                <w:sz w:val="20"/>
                <w:szCs w:val="20"/>
              </w:rPr>
            </w:pPr>
          </w:p>
        </w:tc>
        <w:tc>
          <w:tcPr>
            <w:tcW w:w="702" w:type="pct"/>
          </w:tcPr>
          <w:p w14:paraId="3995BABF" w14:textId="77777777" w:rsidR="00765A30" w:rsidRPr="004C1DC2" w:rsidRDefault="00765A30" w:rsidP="00EF2EB7">
            <w:pPr>
              <w:contextualSpacing/>
              <w:jc w:val="both"/>
              <w:rPr>
                <w:sz w:val="20"/>
                <w:szCs w:val="20"/>
              </w:rPr>
            </w:pPr>
          </w:p>
        </w:tc>
        <w:tc>
          <w:tcPr>
            <w:tcW w:w="702" w:type="pct"/>
          </w:tcPr>
          <w:p w14:paraId="402A0BAD" w14:textId="77777777" w:rsidR="00765A30" w:rsidRPr="004C1DC2" w:rsidRDefault="00765A30" w:rsidP="00EF2EB7">
            <w:pPr>
              <w:contextualSpacing/>
              <w:jc w:val="both"/>
              <w:rPr>
                <w:sz w:val="20"/>
                <w:szCs w:val="20"/>
              </w:rPr>
            </w:pPr>
          </w:p>
        </w:tc>
        <w:tc>
          <w:tcPr>
            <w:tcW w:w="819" w:type="pct"/>
          </w:tcPr>
          <w:p w14:paraId="280EC0F8" w14:textId="77777777" w:rsidR="00765A30" w:rsidRPr="004C1DC2" w:rsidRDefault="00765A30" w:rsidP="00EF2EB7">
            <w:pPr>
              <w:contextualSpacing/>
              <w:jc w:val="both"/>
              <w:rPr>
                <w:sz w:val="20"/>
                <w:szCs w:val="20"/>
              </w:rPr>
            </w:pPr>
            <w:r>
              <w:rPr>
                <w:sz w:val="20"/>
                <w:szCs w:val="20"/>
              </w:rPr>
              <w:t>Country reporting to UN Women and ILO</w:t>
            </w:r>
          </w:p>
        </w:tc>
      </w:tr>
      <w:tr w:rsidR="00765A30" w:rsidRPr="002736D0" w14:paraId="2E7E7698" w14:textId="77777777" w:rsidTr="00EF2EB7">
        <w:tc>
          <w:tcPr>
            <w:tcW w:w="4181" w:type="pct"/>
            <w:gridSpan w:val="5"/>
            <w:shd w:val="clear" w:color="auto" w:fill="E2CADB"/>
          </w:tcPr>
          <w:p w14:paraId="7C5CA4F2" w14:textId="77777777" w:rsidR="00765A30" w:rsidRPr="00C12525" w:rsidRDefault="00765A30" w:rsidP="00EF2EB7">
            <w:pPr>
              <w:rPr>
                <w:sz w:val="20"/>
                <w:szCs w:val="20"/>
              </w:rPr>
            </w:pPr>
            <w:r>
              <w:rPr>
                <w:sz w:val="20"/>
                <w:szCs w:val="20"/>
              </w:rPr>
              <w:t xml:space="preserve">Outcome 6: </w:t>
            </w:r>
            <w:r w:rsidRPr="00C12525">
              <w:rPr>
                <w:sz w:val="20"/>
                <w:szCs w:val="20"/>
              </w:rPr>
              <w:t>The socio-economic recovery of women is promoted in post-conflict situations</w:t>
            </w:r>
          </w:p>
          <w:p w14:paraId="0930DB44" w14:textId="77777777" w:rsidR="00765A30" w:rsidRPr="00C12525" w:rsidRDefault="00765A30" w:rsidP="00EF2EB7">
            <w:pPr>
              <w:rPr>
                <w:sz w:val="20"/>
                <w:szCs w:val="20"/>
              </w:rPr>
            </w:pPr>
          </w:p>
          <w:p w14:paraId="32588337" w14:textId="77777777" w:rsidR="00765A30" w:rsidRPr="00831874" w:rsidRDefault="00765A30" w:rsidP="00EF2EB7">
            <w:pPr>
              <w:contextualSpacing/>
              <w:jc w:val="both"/>
              <w:rPr>
                <w:sz w:val="20"/>
                <w:szCs w:val="20"/>
              </w:rPr>
            </w:pPr>
          </w:p>
        </w:tc>
        <w:tc>
          <w:tcPr>
            <w:tcW w:w="819" w:type="pct"/>
            <w:shd w:val="clear" w:color="auto" w:fill="E2CADB"/>
          </w:tcPr>
          <w:p w14:paraId="08AEA1B6" w14:textId="77777777" w:rsidR="00765A30" w:rsidRPr="00474F62" w:rsidRDefault="00765A30" w:rsidP="00EF2EB7">
            <w:pPr>
              <w:contextualSpacing/>
              <w:jc w:val="both"/>
              <w:rPr>
                <w:sz w:val="20"/>
                <w:szCs w:val="20"/>
                <w:lang w:val="fr-FR"/>
              </w:rPr>
            </w:pPr>
            <w:r w:rsidRPr="00474F62">
              <w:rPr>
                <w:sz w:val="20"/>
                <w:szCs w:val="20"/>
                <w:lang w:val="fr-FR"/>
              </w:rPr>
              <w:t xml:space="preserve">Financial </w:t>
            </w:r>
            <w:r>
              <w:rPr>
                <w:sz w:val="20"/>
                <w:szCs w:val="20"/>
                <w:lang w:val="fr-FR"/>
              </w:rPr>
              <w:t>Investment</w:t>
            </w:r>
            <w:r w:rsidRPr="00474F62">
              <w:rPr>
                <w:sz w:val="20"/>
                <w:szCs w:val="20"/>
                <w:lang w:val="fr-FR"/>
              </w:rPr>
              <w:t>: Y1- $XX; Y2 - XX;  Y3- XX</w:t>
            </w:r>
          </w:p>
        </w:tc>
      </w:tr>
      <w:tr w:rsidR="00765A30" w:rsidRPr="004C1DC2" w14:paraId="54E8CFF3" w14:textId="77777777" w:rsidTr="00EF2EB7">
        <w:tc>
          <w:tcPr>
            <w:tcW w:w="1404" w:type="pct"/>
            <w:shd w:val="clear" w:color="auto" w:fill="D9D9D9" w:themeFill="background1" w:themeFillShade="D9"/>
          </w:tcPr>
          <w:p w14:paraId="449876E4" w14:textId="77777777" w:rsidR="00765A30" w:rsidRPr="004C1DC2" w:rsidRDefault="00765A30" w:rsidP="00EF2EB7">
            <w:pPr>
              <w:contextualSpacing/>
              <w:jc w:val="both"/>
              <w:rPr>
                <w:sz w:val="20"/>
                <w:szCs w:val="20"/>
              </w:rPr>
            </w:pPr>
            <w:r>
              <w:rPr>
                <w:sz w:val="20"/>
                <w:szCs w:val="20"/>
              </w:rPr>
              <w:t>Outcome indicators</w:t>
            </w:r>
          </w:p>
        </w:tc>
        <w:tc>
          <w:tcPr>
            <w:tcW w:w="731" w:type="pct"/>
            <w:shd w:val="clear" w:color="auto" w:fill="D9D9D9" w:themeFill="background1" w:themeFillShade="D9"/>
          </w:tcPr>
          <w:p w14:paraId="2815E238" w14:textId="77777777" w:rsidR="00765A30" w:rsidRPr="004C1DC2" w:rsidRDefault="00765A30" w:rsidP="00EF2EB7">
            <w:pPr>
              <w:contextualSpacing/>
              <w:jc w:val="both"/>
              <w:rPr>
                <w:sz w:val="20"/>
                <w:szCs w:val="20"/>
              </w:rPr>
            </w:pPr>
            <w:r w:rsidRPr="004C1DC2">
              <w:rPr>
                <w:sz w:val="20"/>
                <w:szCs w:val="20"/>
              </w:rPr>
              <w:t>Baseline</w:t>
            </w:r>
          </w:p>
        </w:tc>
        <w:tc>
          <w:tcPr>
            <w:tcW w:w="643" w:type="pct"/>
            <w:shd w:val="clear" w:color="auto" w:fill="D9D9D9" w:themeFill="background1" w:themeFillShade="D9"/>
          </w:tcPr>
          <w:p w14:paraId="6A944C91" w14:textId="77777777" w:rsidR="00765A30" w:rsidRPr="004C1DC2" w:rsidRDefault="00765A30" w:rsidP="00EF2EB7">
            <w:pPr>
              <w:contextualSpacing/>
              <w:jc w:val="both"/>
              <w:rPr>
                <w:sz w:val="20"/>
                <w:szCs w:val="20"/>
              </w:rPr>
            </w:pPr>
            <w:r w:rsidRPr="004C1DC2">
              <w:rPr>
                <w:sz w:val="20"/>
                <w:szCs w:val="20"/>
              </w:rPr>
              <w:t>Target Year 1</w:t>
            </w:r>
          </w:p>
        </w:tc>
        <w:tc>
          <w:tcPr>
            <w:tcW w:w="702" w:type="pct"/>
            <w:shd w:val="clear" w:color="auto" w:fill="D9D9D9" w:themeFill="background1" w:themeFillShade="D9"/>
          </w:tcPr>
          <w:p w14:paraId="564A48CA" w14:textId="77777777" w:rsidR="00765A30" w:rsidRPr="004C1DC2" w:rsidRDefault="00765A30" w:rsidP="00EF2EB7">
            <w:pPr>
              <w:contextualSpacing/>
              <w:jc w:val="both"/>
              <w:rPr>
                <w:sz w:val="20"/>
                <w:szCs w:val="20"/>
              </w:rPr>
            </w:pPr>
            <w:r w:rsidRPr="004C1DC2">
              <w:rPr>
                <w:sz w:val="20"/>
                <w:szCs w:val="20"/>
              </w:rPr>
              <w:t>Target Year 2</w:t>
            </w:r>
          </w:p>
        </w:tc>
        <w:tc>
          <w:tcPr>
            <w:tcW w:w="702" w:type="pct"/>
            <w:shd w:val="clear" w:color="auto" w:fill="D9D9D9" w:themeFill="background1" w:themeFillShade="D9"/>
          </w:tcPr>
          <w:p w14:paraId="7AD75FB8" w14:textId="77777777" w:rsidR="00765A30" w:rsidRPr="004C1DC2" w:rsidRDefault="00765A30" w:rsidP="00EF2EB7">
            <w:pPr>
              <w:contextualSpacing/>
              <w:jc w:val="both"/>
              <w:rPr>
                <w:sz w:val="20"/>
                <w:szCs w:val="20"/>
              </w:rPr>
            </w:pPr>
            <w:r w:rsidRPr="004C1DC2">
              <w:rPr>
                <w:sz w:val="20"/>
                <w:szCs w:val="20"/>
              </w:rPr>
              <w:t>Target Year 3</w:t>
            </w:r>
          </w:p>
        </w:tc>
        <w:tc>
          <w:tcPr>
            <w:tcW w:w="819" w:type="pct"/>
            <w:shd w:val="clear" w:color="auto" w:fill="D9D9D9" w:themeFill="background1" w:themeFillShade="D9"/>
          </w:tcPr>
          <w:p w14:paraId="33801D17" w14:textId="77777777" w:rsidR="00765A30" w:rsidRPr="004C1DC2" w:rsidRDefault="00765A30" w:rsidP="00EF2EB7">
            <w:pPr>
              <w:contextualSpacing/>
              <w:jc w:val="both"/>
              <w:rPr>
                <w:sz w:val="20"/>
                <w:szCs w:val="20"/>
              </w:rPr>
            </w:pPr>
            <w:r w:rsidRPr="004C1DC2">
              <w:rPr>
                <w:sz w:val="20"/>
                <w:szCs w:val="20"/>
              </w:rPr>
              <w:t xml:space="preserve">Means of Verification </w:t>
            </w:r>
          </w:p>
        </w:tc>
      </w:tr>
      <w:tr w:rsidR="00765A30" w:rsidRPr="004C1DC2" w14:paraId="340EFE24" w14:textId="77777777" w:rsidTr="00EF2EB7">
        <w:tc>
          <w:tcPr>
            <w:tcW w:w="1404" w:type="pct"/>
          </w:tcPr>
          <w:p w14:paraId="027E79E5" w14:textId="77777777" w:rsidR="00765A30" w:rsidRPr="004C1DC2" w:rsidRDefault="00765A30" w:rsidP="00EF2EB7">
            <w:pPr>
              <w:contextualSpacing/>
              <w:jc w:val="both"/>
              <w:rPr>
                <w:sz w:val="20"/>
                <w:szCs w:val="20"/>
              </w:rPr>
            </w:pPr>
            <w:r w:rsidRPr="00C12525">
              <w:rPr>
                <w:sz w:val="20"/>
                <w:szCs w:val="20"/>
              </w:rPr>
              <w:t>Labor force participation rate for persons aged 15+, by sex</w:t>
            </w:r>
          </w:p>
        </w:tc>
        <w:tc>
          <w:tcPr>
            <w:tcW w:w="731" w:type="pct"/>
          </w:tcPr>
          <w:p w14:paraId="4916E6C9" w14:textId="77777777" w:rsidR="00765A30" w:rsidRPr="004C1DC2" w:rsidRDefault="00765A30" w:rsidP="00EF2EB7">
            <w:pPr>
              <w:contextualSpacing/>
              <w:jc w:val="both"/>
              <w:rPr>
                <w:sz w:val="20"/>
                <w:szCs w:val="20"/>
              </w:rPr>
            </w:pPr>
          </w:p>
        </w:tc>
        <w:tc>
          <w:tcPr>
            <w:tcW w:w="643" w:type="pct"/>
          </w:tcPr>
          <w:p w14:paraId="0EA08764" w14:textId="77777777" w:rsidR="00765A30" w:rsidRPr="004C1DC2" w:rsidRDefault="00765A30" w:rsidP="00EF2EB7">
            <w:pPr>
              <w:contextualSpacing/>
              <w:jc w:val="both"/>
              <w:rPr>
                <w:sz w:val="20"/>
                <w:szCs w:val="20"/>
              </w:rPr>
            </w:pPr>
          </w:p>
        </w:tc>
        <w:tc>
          <w:tcPr>
            <w:tcW w:w="702" w:type="pct"/>
          </w:tcPr>
          <w:p w14:paraId="3F76ADB1" w14:textId="77777777" w:rsidR="00765A30" w:rsidRPr="004C1DC2" w:rsidRDefault="00765A30" w:rsidP="00EF2EB7">
            <w:pPr>
              <w:contextualSpacing/>
              <w:jc w:val="both"/>
              <w:rPr>
                <w:sz w:val="20"/>
                <w:szCs w:val="20"/>
              </w:rPr>
            </w:pPr>
          </w:p>
        </w:tc>
        <w:tc>
          <w:tcPr>
            <w:tcW w:w="702" w:type="pct"/>
          </w:tcPr>
          <w:p w14:paraId="46F23924" w14:textId="77777777" w:rsidR="00765A30" w:rsidRPr="004C1DC2" w:rsidRDefault="00765A30" w:rsidP="00EF2EB7">
            <w:pPr>
              <w:contextualSpacing/>
              <w:jc w:val="both"/>
              <w:rPr>
                <w:sz w:val="20"/>
                <w:szCs w:val="20"/>
              </w:rPr>
            </w:pPr>
          </w:p>
        </w:tc>
        <w:tc>
          <w:tcPr>
            <w:tcW w:w="819" w:type="pct"/>
          </w:tcPr>
          <w:p w14:paraId="5586EBC0" w14:textId="77777777" w:rsidR="00765A30" w:rsidRPr="004C1DC2" w:rsidRDefault="00765A30" w:rsidP="00EF2EB7">
            <w:pPr>
              <w:contextualSpacing/>
              <w:jc w:val="both"/>
              <w:rPr>
                <w:sz w:val="20"/>
                <w:szCs w:val="20"/>
              </w:rPr>
            </w:pPr>
            <w:r>
              <w:rPr>
                <w:sz w:val="20"/>
                <w:szCs w:val="20"/>
              </w:rPr>
              <w:t>ILO</w:t>
            </w:r>
          </w:p>
        </w:tc>
      </w:tr>
      <w:tr w:rsidR="00765A30" w:rsidRPr="004C1DC2" w14:paraId="77DD9B40" w14:textId="77777777" w:rsidTr="00EF2EB7">
        <w:tc>
          <w:tcPr>
            <w:tcW w:w="1404" w:type="pct"/>
          </w:tcPr>
          <w:p w14:paraId="3E38794E" w14:textId="77777777" w:rsidR="00765A30" w:rsidRPr="004C1DC2" w:rsidRDefault="00765A30" w:rsidP="00EF2EB7">
            <w:pPr>
              <w:contextualSpacing/>
              <w:jc w:val="both"/>
              <w:rPr>
                <w:sz w:val="20"/>
                <w:szCs w:val="20"/>
              </w:rPr>
            </w:pPr>
            <w:r w:rsidRPr="00030607">
              <w:rPr>
                <w:sz w:val="20"/>
                <w:szCs w:val="20"/>
              </w:rPr>
              <w:t>Proportion of informal employment in non-agriculture employment, by sex</w:t>
            </w:r>
          </w:p>
        </w:tc>
        <w:tc>
          <w:tcPr>
            <w:tcW w:w="731" w:type="pct"/>
          </w:tcPr>
          <w:p w14:paraId="17927117" w14:textId="77777777" w:rsidR="00765A30" w:rsidRPr="004C1DC2" w:rsidRDefault="00765A30" w:rsidP="00EF2EB7">
            <w:pPr>
              <w:contextualSpacing/>
              <w:jc w:val="both"/>
              <w:rPr>
                <w:sz w:val="20"/>
                <w:szCs w:val="20"/>
              </w:rPr>
            </w:pPr>
          </w:p>
        </w:tc>
        <w:tc>
          <w:tcPr>
            <w:tcW w:w="643" w:type="pct"/>
          </w:tcPr>
          <w:p w14:paraId="68094B55" w14:textId="77777777" w:rsidR="00765A30" w:rsidRPr="004C1DC2" w:rsidRDefault="00765A30" w:rsidP="00EF2EB7">
            <w:pPr>
              <w:contextualSpacing/>
              <w:jc w:val="both"/>
              <w:rPr>
                <w:sz w:val="20"/>
                <w:szCs w:val="20"/>
              </w:rPr>
            </w:pPr>
          </w:p>
        </w:tc>
        <w:tc>
          <w:tcPr>
            <w:tcW w:w="702" w:type="pct"/>
          </w:tcPr>
          <w:p w14:paraId="479BDCC3" w14:textId="77777777" w:rsidR="00765A30" w:rsidRPr="004C1DC2" w:rsidRDefault="00765A30" w:rsidP="00EF2EB7">
            <w:pPr>
              <w:contextualSpacing/>
              <w:jc w:val="both"/>
              <w:rPr>
                <w:sz w:val="20"/>
                <w:szCs w:val="20"/>
              </w:rPr>
            </w:pPr>
          </w:p>
        </w:tc>
        <w:tc>
          <w:tcPr>
            <w:tcW w:w="702" w:type="pct"/>
          </w:tcPr>
          <w:p w14:paraId="4170F95C" w14:textId="77777777" w:rsidR="00765A30" w:rsidRPr="004C1DC2" w:rsidRDefault="00765A30" w:rsidP="00EF2EB7">
            <w:pPr>
              <w:contextualSpacing/>
              <w:jc w:val="both"/>
              <w:rPr>
                <w:sz w:val="20"/>
                <w:szCs w:val="20"/>
              </w:rPr>
            </w:pPr>
          </w:p>
        </w:tc>
        <w:tc>
          <w:tcPr>
            <w:tcW w:w="819" w:type="pct"/>
          </w:tcPr>
          <w:p w14:paraId="261B1411" w14:textId="77777777" w:rsidR="00765A30" w:rsidRPr="004C1DC2" w:rsidRDefault="00765A30" w:rsidP="00EF2EB7">
            <w:pPr>
              <w:contextualSpacing/>
              <w:jc w:val="both"/>
              <w:rPr>
                <w:sz w:val="20"/>
                <w:szCs w:val="20"/>
              </w:rPr>
            </w:pPr>
            <w:r>
              <w:rPr>
                <w:sz w:val="20"/>
                <w:szCs w:val="20"/>
              </w:rPr>
              <w:t>ILO</w:t>
            </w:r>
          </w:p>
        </w:tc>
      </w:tr>
      <w:tr w:rsidR="00765A30" w:rsidRPr="004C1DC2" w14:paraId="41EC8CDD" w14:textId="77777777" w:rsidTr="00EF2EB7">
        <w:tc>
          <w:tcPr>
            <w:tcW w:w="1404" w:type="pct"/>
          </w:tcPr>
          <w:p w14:paraId="0B99E69B" w14:textId="77777777" w:rsidR="00765A30" w:rsidRPr="004C1DC2" w:rsidRDefault="00765A30" w:rsidP="00EF2EB7">
            <w:pPr>
              <w:contextualSpacing/>
              <w:jc w:val="both"/>
              <w:rPr>
                <w:sz w:val="20"/>
                <w:szCs w:val="20"/>
              </w:rPr>
            </w:pPr>
            <w:r w:rsidRPr="00030607">
              <w:rPr>
                <w:sz w:val="20"/>
                <w:szCs w:val="20"/>
              </w:rPr>
              <w:t>Proportion of seats held by women in national parliaments</w:t>
            </w:r>
          </w:p>
        </w:tc>
        <w:tc>
          <w:tcPr>
            <w:tcW w:w="731" w:type="pct"/>
          </w:tcPr>
          <w:p w14:paraId="2A3081A1" w14:textId="77777777" w:rsidR="00765A30" w:rsidRPr="004C1DC2" w:rsidRDefault="00765A30" w:rsidP="00EF2EB7">
            <w:pPr>
              <w:contextualSpacing/>
              <w:jc w:val="both"/>
              <w:rPr>
                <w:sz w:val="20"/>
                <w:szCs w:val="20"/>
              </w:rPr>
            </w:pPr>
          </w:p>
        </w:tc>
        <w:tc>
          <w:tcPr>
            <w:tcW w:w="643" w:type="pct"/>
          </w:tcPr>
          <w:p w14:paraId="21E9D59B" w14:textId="77777777" w:rsidR="00765A30" w:rsidRPr="004C1DC2" w:rsidRDefault="00765A30" w:rsidP="00EF2EB7">
            <w:pPr>
              <w:contextualSpacing/>
              <w:jc w:val="both"/>
              <w:rPr>
                <w:sz w:val="20"/>
                <w:szCs w:val="20"/>
              </w:rPr>
            </w:pPr>
          </w:p>
        </w:tc>
        <w:tc>
          <w:tcPr>
            <w:tcW w:w="702" w:type="pct"/>
          </w:tcPr>
          <w:p w14:paraId="22B4662A" w14:textId="77777777" w:rsidR="00765A30" w:rsidRPr="004C1DC2" w:rsidRDefault="00765A30" w:rsidP="00EF2EB7">
            <w:pPr>
              <w:contextualSpacing/>
              <w:jc w:val="both"/>
              <w:rPr>
                <w:sz w:val="20"/>
                <w:szCs w:val="20"/>
              </w:rPr>
            </w:pPr>
          </w:p>
        </w:tc>
        <w:tc>
          <w:tcPr>
            <w:tcW w:w="702" w:type="pct"/>
          </w:tcPr>
          <w:p w14:paraId="7DC01E57" w14:textId="77777777" w:rsidR="00765A30" w:rsidRPr="004C1DC2" w:rsidRDefault="00765A30" w:rsidP="00EF2EB7">
            <w:pPr>
              <w:contextualSpacing/>
              <w:jc w:val="both"/>
              <w:rPr>
                <w:sz w:val="20"/>
                <w:szCs w:val="20"/>
              </w:rPr>
            </w:pPr>
          </w:p>
        </w:tc>
        <w:tc>
          <w:tcPr>
            <w:tcW w:w="819" w:type="pct"/>
          </w:tcPr>
          <w:p w14:paraId="4E58DB94" w14:textId="77777777" w:rsidR="00765A30" w:rsidRPr="004C1DC2" w:rsidRDefault="00765A30" w:rsidP="00EF2EB7">
            <w:pPr>
              <w:contextualSpacing/>
              <w:jc w:val="both"/>
              <w:rPr>
                <w:sz w:val="20"/>
                <w:szCs w:val="20"/>
              </w:rPr>
            </w:pPr>
            <w:r>
              <w:rPr>
                <w:sz w:val="20"/>
                <w:szCs w:val="20"/>
              </w:rPr>
              <w:t>SDG indicator</w:t>
            </w:r>
          </w:p>
        </w:tc>
      </w:tr>
    </w:tbl>
    <w:p w14:paraId="2AE4DACB" w14:textId="77777777" w:rsidR="00765A30" w:rsidRPr="00831874" w:rsidRDefault="00765A30" w:rsidP="00765A30">
      <w:pPr>
        <w:contextualSpacing/>
        <w:jc w:val="both"/>
        <w:rPr>
          <w:rFonts w:eastAsia="Times New Roman" w:cs="Arial"/>
          <w:color w:val="000000"/>
        </w:rPr>
      </w:pPr>
    </w:p>
    <w:p w14:paraId="28AA75CA" w14:textId="77777777" w:rsidR="00632081" w:rsidRPr="00632081" w:rsidRDefault="00765A30" w:rsidP="00801418">
      <w:r w:rsidRPr="00765A30">
        <w:br w:type="page"/>
      </w:r>
    </w:p>
    <w:sectPr w:rsidR="00632081" w:rsidRPr="00632081" w:rsidSect="0063721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5CFE9" w14:textId="77777777" w:rsidR="00C423BB" w:rsidRDefault="00C423BB" w:rsidP="00081D3D">
      <w:pPr>
        <w:spacing w:after="0" w:line="240" w:lineRule="auto"/>
      </w:pPr>
      <w:r>
        <w:separator/>
      </w:r>
    </w:p>
  </w:endnote>
  <w:endnote w:type="continuationSeparator" w:id="0">
    <w:p w14:paraId="4E936F6D" w14:textId="77777777" w:rsidR="00C423BB" w:rsidRDefault="00C423BB" w:rsidP="0008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414194"/>
      <w:docPartObj>
        <w:docPartGallery w:val="Page Numbers (Bottom of Page)"/>
        <w:docPartUnique/>
      </w:docPartObj>
    </w:sdtPr>
    <w:sdtEndPr>
      <w:rPr>
        <w:noProof/>
      </w:rPr>
    </w:sdtEndPr>
    <w:sdtContent>
      <w:p w14:paraId="51CCD1B0" w14:textId="72539620" w:rsidR="00EF2EB7" w:rsidRDefault="00EF2EB7">
        <w:pPr>
          <w:pStyle w:val="Footer"/>
          <w:jc w:val="center"/>
        </w:pPr>
        <w:r>
          <w:fldChar w:fldCharType="begin"/>
        </w:r>
        <w:r>
          <w:instrText xml:space="preserve"> PAGE   \* MERGEFORMAT </w:instrText>
        </w:r>
        <w:r>
          <w:fldChar w:fldCharType="separate"/>
        </w:r>
        <w:r w:rsidR="00214888">
          <w:rPr>
            <w:noProof/>
          </w:rPr>
          <w:t>10</w:t>
        </w:r>
        <w:r>
          <w:rPr>
            <w:noProof/>
          </w:rPr>
          <w:fldChar w:fldCharType="end"/>
        </w:r>
      </w:p>
    </w:sdtContent>
  </w:sdt>
  <w:p w14:paraId="39953936" w14:textId="77777777" w:rsidR="00EF2EB7" w:rsidRDefault="00EF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B970" w14:textId="77777777" w:rsidR="00C423BB" w:rsidRDefault="00C423BB" w:rsidP="00081D3D">
      <w:pPr>
        <w:spacing w:after="0" w:line="240" w:lineRule="auto"/>
      </w:pPr>
      <w:r>
        <w:separator/>
      </w:r>
    </w:p>
  </w:footnote>
  <w:footnote w:type="continuationSeparator" w:id="0">
    <w:p w14:paraId="38DD0EE3" w14:textId="77777777" w:rsidR="00C423BB" w:rsidRDefault="00C423BB" w:rsidP="00081D3D">
      <w:pPr>
        <w:spacing w:after="0" w:line="240" w:lineRule="auto"/>
      </w:pPr>
      <w:r>
        <w:continuationSeparator/>
      </w:r>
    </w:p>
  </w:footnote>
  <w:footnote w:id="1">
    <w:p w14:paraId="29770A0A" w14:textId="77777777" w:rsidR="00EF2EB7" w:rsidRPr="00120607" w:rsidRDefault="00EF2EB7" w:rsidP="00DF1E39">
      <w:pPr>
        <w:pStyle w:val="FootnoteText"/>
        <w:rPr>
          <w:sz w:val="18"/>
          <w:szCs w:val="18"/>
          <w:lang w:val="en-US"/>
        </w:rPr>
      </w:pPr>
      <w:r w:rsidRPr="00120607">
        <w:rPr>
          <w:rStyle w:val="FootnoteReference"/>
          <w:sz w:val="18"/>
          <w:szCs w:val="18"/>
        </w:rPr>
        <w:footnoteRef/>
      </w:r>
      <w:r w:rsidRPr="00120607">
        <w:rPr>
          <w:sz w:val="18"/>
          <w:szCs w:val="18"/>
        </w:rPr>
        <w:t xml:space="preserve"> </w:t>
      </w:r>
      <w:r>
        <w:rPr>
          <w:sz w:val="18"/>
          <w:szCs w:val="18"/>
          <w:lang w:val="en-US"/>
        </w:rPr>
        <w:t xml:space="preserve"> Global Study on the implementation of the UN Security Council resolution 1325, 2015</w:t>
      </w:r>
    </w:p>
  </w:footnote>
  <w:footnote w:id="2">
    <w:p w14:paraId="56C8DB54" w14:textId="77777777" w:rsidR="00EF2EB7" w:rsidRPr="00120607" w:rsidRDefault="00EF2EB7" w:rsidP="00DF1E39">
      <w:pPr>
        <w:pStyle w:val="FootnoteText"/>
        <w:rPr>
          <w:sz w:val="18"/>
          <w:szCs w:val="18"/>
          <w:lang w:val="en-US"/>
        </w:rPr>
      </w:pPr>
      <w:r w:rsidRPr="00120607">
        <w:rPr>
          <w:rStyle w:val="FootnoteReference"/>
          <w:sz w:val="18"/>
          <w:szCs w:val="18"/>
        </w:rPr>
        <w:footnoteRef/>
      </w:r>
      <w:r w:rsidRPr="00120607">
        <w:rPr>
          <w:sz w:val="18"/>
          <w:szCs w:val="18"/>
        </w:rPr>
        <w:t xml:space="preserve"> </w:t>
      </w:r>
      <w:r w:rsidRPr="00120607">
        <w:rPr>
          <w:sz w:val="18"/>
          <w:szCs w:val="18"/>
          <w:lang w:val="en-US"/>
        </w:rPr>
        <w:t>OECD-DAC Gender Equality Network. “Financing Security Council resolution 1325 (2000).” March 2015</w:t>
      </w:r>
    </w:p>
  </w:footnote>
  <w:footnote w:id="3">
    <w:p w14:paraId="7292FA1B" w14:textId="77777777" w:rsidR="00EF2EB7" w:rsidRPr="00120607" w:rsidRDefault="00EF2EB7" w:rsidP="00DF1E39">
      <w:pPr>
        <w:pStyle w:val="FootnoteText"/>
        <w:rPr>
          <w:sz w:val="18"/>
          <w:szCs w:val="18"/>
          <w:lang w:val="en-US"/>
        </w:rPr>
      </w:pPr>
      <w:r w:rsidRPr="003A05A1">
        <w:rPr>
          <w:rStyle w:val="FootnoteReference"/>
          <w:sz w:val="18"/>
          <w:szCs w:val="18"/>
        </w:rPr>
        <w:footnoteRef/>
      </w:r>
      <w:r w:rsidRPr="003A05A1">
        <w:rPr>
          <w:sz w:val="18"/>
          <w:szCs w:val="18"/>
        </w:rPr>
        <w:t xml:space="preserve"> </w:t>
      </w:r>
      <w:r w:rsidRPr="00120607">
        <w:rPr>
          <w:sz w:val="18"/>
          <w:szCs w:val="18"/>
        </w:rPr>
        <w:t xml:space="preserve">Visioning the Future: Reporting the findings of the Future of Humanitarian Financing initiative and dialogue processes (2015).  </w:t>
      </w:r>
    </w:p>
  </w:footnote>
  <w:footnote w:id="4">
    <w:p w14:paraId="0B91E0C9" w14:textId="77777777" w:rsidR="00EF2EB7" w:rsidRPr="00120607" w:rsidRDefault="00EF2EB7" w:rsidP="00E7692B">
      <w:pPr>
        <w:pStyle w:val="FootnoteText"/>
        <w:rPr>
          <w:sz w:val="18"/>
          <w:lang w:val="en-US"/>
        </w:rPr>
      </w:pPr>
      <w:r w:rsidRPr="00F96EEF">
        <w:rPr>
          <w:rStyle w:val="FootnoteReference"/>
        </w:rPr>
        <w:footnoteRef/>
      </w:r>
      <w:r w:rsidRPr="00F96EEF">
        <w:t xml:space="preserve"> </w:t>
      </w:r>
      <w:r w:rsidRPr="00120607">
        <w:rPr>
          <w:sz w:val="18"/>
          <w:lang w:val="en-US"/>
        </w:rPr>
        <w:t>In the case of a CSO submitting a proposal, the PUNO will be the Management Entity (UN Women where UN Women has a country presence) and the Implementing Partner will be the submitting CSO</w:t>
      </w:r>
    </w:p>
  </w:footnote>
  <w:footnote w:id="5">
    <w:p w14:paraId="766945F9" w14:textId="76CF6A71" w:rsidR="00EF2EB7" w:rsidRPr="00120607" w:rsidRDefault="00EF2EB7" w:rsidP="00E7692B">
      <w:pPr>
        <w:pStyle w:val="FootnoteText"/>
        <w:rPr>
          <w:sz w:val="18"/>
          <w:lang w:val="en-US"/>
        </w:rPr>
      </w:pPr>
      <w:r w:rsidRPr="00120607">
        <w:rPr>
          <w:rStyle w:val="FootnoteReference"/>
          <w:sz w:val="18"/>
        </w:rPr>
        <w:footnoteRef/>
      </w:r>
      <w:r w:rsidRPr="00120607">
        <w:rPr>
          <w:sz w:val="18"/>
        </w:rPr>
        <w:t xml:space="preserve"> </w:t>
      </w:r>
      <w:r w:rsidRPr="00120607">
        <w:rPr>
          <w:sz w:val="18"/>
          <w:lang w:val="en-US"/>
        </w:rPr>
        <w:t xml:space="preserve">The </w:t>
      </w:r>
      <w:r w:rsidR="001D584D">
        <w:rPr>
          <w:sz w:val="18"/>
          <w:lang w:val="en-US"/>
        </w:rPr>
        <w:t>WPHF</w:t>
      </w:r>
      <w:r w:rsidR="001D584D" w:rsidRPr="00120607">
        <w:rPr>
          <w:sz w:val="18"/>
          <w:lang w:val="en-US"/>
        </w:rPr>
        <w:t xml:space="preserve"> </w:t>
      </w:r>
      <w:r w:rsidRPr="00120607">
        <w:rPr>
          <w:sz w:val="18"/>
          <w:lang w:val="en-US"/>
        </w:rPr>
        <w:t xml:space="preserve">set a minimum of $100 000 for projects, in line with UNDG’s guidelines </w:t>
      </w:r>
    </w:p>
  </w:footnote>
  <w:footnote w:id="6">
    <w:p w14:paraId="3FAE622F" w14:textId="77777777" w:rsidR="00EF2EB7" w:rsidRPr="00120607" w:rsidRDefault="00EF2EB7" w:rsidP="00E7692B">
      <w:pPr>
        <w:pStyle w:val="FootnoteText"/>
        <w:rPr>
          <w:sz w:val="18"/>
          <w:lang w:val="en-US"/>
        </w:rPr>
      </w:pPr>
      <w:r w:rsidRPr="00120607">
        <w:rPr>
          <w:rStyle w:val="FootnoteReference"/>
          <w:sz w:val="18"/>
        </w:rPr>
        <w:footnoteRef/>
      </w:r>
      <w:r w:rsidRPr="00120607">
        <w:rPr>
          <w:sz w:val="18"/>
        </w:rPr>
        <w:t xml:space="preserve"> </w:t>
      </w:r>
      <w:r w:rsidRPr="00120607">
        <w:rPr>
          <w:sz w:val="18"/>
          <w:lang w:val="en-US"/>
        </w:rPr>
        <w:t xml:space="preserve">Maximum project duration is </w:t>
      </w:r>
      <w:r>
        <w:rPr>
          <w:sz w:val="18"/>
          <w:lang w:val="en-US"/>
        </w:rPr>
        <w:t>2</w:t>
      </w:r>
      <w:r w:rsidRPr="00120607">
        <w:rPr>
          <w:sz w:val="18"/>
          <w:lang w:val="en-US"/>
        </w:rPr>
        <w:t xml:space="preserve"> years</w:t>
      </w:r>
    </w:p>
  </w:footnote>
  <w:footnote w:id="7">
    <w:p w14:paraId="1FF98150" w14:textId="77777777" w:rsidR="00EF2EB7" w:rsidRPr="00120607" w:rsidRDefault="00EF2EB7" w:rsidP="00E7692B">
      <w:pPr>
        <w:pStyle w:val="FootnoteText"/>
        <w:rPr>
          <w:sz w:val="18"/>
        </w:rPr>
      </w:pPr>
      <w:r w:rsidRPr="00120607">
        <w:rPr>
          <w:rStyle w:val="FootnoteReference"/>
          <w:sz w:val="18"/>
        </w:rPr>
        <w:footnoteRef/>
      </w:r>
      <w:r w:rsidRPr="00120607">
        <w:rPr>
          <w:sz w:val="18"/>
        </w:rPr>
        <w:t xml:space="preserve"> A project can only contribute to one Outcome</w:t>
      </w:r>
    </w:p>
  </w:footnote>
  <w:footnote w:id="8">
    <w:p w14:paraId="41E2A48B" w14:textId="65368BAC" w:rsidR="00EF2EB7" w:rsidRPr="00120607" w:rsidRDefault="00EF2EB7" w:rsidP="00E7692B">
      <w:pPr>
        <w:pStyle w:val="FootnoteText"/>
        <w:rPr>
          <w:sz w:val="18"/>
        </w:rPr>
      </w:pPr>
      <w:r w:rsidRPr="00120607">
        <w:rPr>
          <w:rStyle w:val="FootnoteReference"/>
          <w:sz w:val="18"/>
        </w:rPr>
        <w:footnoteRef/>
      </w:r>
      <w:r w:rsidRPr="00120607">
        <w:rPr>
          <w:sz w:val="18"/>
        </w:rPr>
        <w:t xml:space="preserve"> The Outcome indicator is repeated from the </w:t>
      </w:r>
      <w:r w:rsidR="001D584D">
        <w:rPr>
          <w:sz w:val="18"/>
        </w:rPr>
        <w:t>WPHF’s</w:t>
      </w:r>
      <w:r w:rsidR="001D584D" w:rsidRPr="00120607">
        <w:rPr>
          <w:sz w:val="18"/>
        </w:rPr>
        <w:t xml:space="preserve"> </w:t>
      </w:r>
      <w:r w:rsidRPr="00120607">
        <w:rPr>
          <w:sz w:val="18"/>
        </w:rPr>
        <w:t xml:space="preserve">results </w:t>
      </w:r>
      <w:r>
        <w:rPr>
          <w:sz w:val="18"/>
        </w:rPr>
        <w:t>matrix</w:t>
      </w:r>
      <w:r w:rsidRPr="00120607">
        <w:rPr>
          <w:sz w:val="18"/>
        </w:rPr>
        <w:t xml:space="preserve">. Please refer to </w:t>
      </w:r>
      <w:r w:rsidR="001D584D">
        <w:rPr>
          <w:sz w:val="18"/>
        </w:rPr>
        <w:t xml:space="preserve">WPHF’s </w:t>
      </w:r>
      <w:r>
        <w:rPr>
          <w:sz w:val="18"/>
        </w:rPr>
        <w:t>results matrix below</w:t>
      </w:r>
      <w:r w:rsidRPr="00120607">
        <w:rPr>
          <w:sz w:val="18"/>
        </w:rPr>
        <w:t xml:space="preserve"> before writing your application.</w:t>
      </w:r>
    </w:p>
  </w:footnote>
  <w:footnote w:id="9">
    <w:p w14:paraId="2ECF311A" w14:textId="77777777" w:rsidR="00EF2EB7" w:rsidRPr="00120607" w:rsidRDefault="00EF2EB7" w:rsidP="00E7692B">
      <w:pPr>
        <w:pStyle w:val="FootnoteText"/>
        <w:rPr>
          <w:sz w:val="18"/>
          <w:lang w:val="en-US"/>
        </w:rPr>
      </w:pPr>
      <w:r w:rsidRPr="00120607">
        <w:rPr>
          <w:rStyle w:val="FootnoteReference"/>
          <w:sz w:val="18"/>
        </w:rPr>
        <w:footnoteRef/>
      </w:r>
      <w:r w:rsidRPr="00120607">
        <w:rPr>
          <w:sz w:val="18"/>
        </w:rPr>
        <w:t xml:space="preserve"> Please a</w:t>
      </w:r>
      <w:r w:rsidRPr="00120607">
        <w:rPr>
          <w:sz w:val="18"/>
          <w:lang w:val="en-US"/>
        </w:rPr>
        <w:t>dd signature block for each PUNO receiving funds under this project.</w:t>
      </w:r>
    </w:p>
  </w:footnote>
  <w:footnote w:id="10">
    <w:p w14:paraId="5D9B8CA8" w14:textId="77777777" w:rsidR="00EF2EB7" w:rsidRPr="00120607" w:rsidRDefault="00EF2EB7" w:rsidP="00E7692B">
      <w:pPr>
        <w:pStyle w:val="FootnoteText"/>
        <w:rPr>
          <w:sz w:val="18"/>
        </w:rPr>
      </w:pPr>
      <w:r w:rsidRPr="00120607">
        <w:rPr>
          <w:rStyle w:val="FootnoteReference"/>
          <w:sz w:val="18"/>
        </w:rPr>
        <w:footnoteRef/>
      </w:r>
      <w:r w:rsidRPr="00120607">
        <w:rPr>
          <w:sz w:val="18"/>
        </w:rPr>
        <w:t xml:space="preserve"> </w:t>
      </w:r>
      <w:r w:rsidRPr="00120607">
        <w:rPr>
          <w:sz w:val="18"/>
          <w:lang w:val="en-US"/>
        </w:rPr>
        <w:t>In the case of a CSO submitting a proposal, the PUNO is the Management Entity</w:t>
      </w:r>
    </w:p>
  </w:footnote>
  <w:footnote w:id="11">
    <w:p w14:paraId="336FFD8C" w14:textId="77777777" w:rsidR="00EF2EB7" w:rsidRPr="00120607" w:rsidRDefault="00EF2EB7" w:rsidP="00E7692B">
      <w:pPr>
        <w:pStyle w:val="FootnoteText"/>
        <w:rPr>
          <w:sz w:val="18"/>
        </w:rPr>
      </w:pPr>
      <w:r w:rsidRPr="00120607">
        <w:rPr>
          <w:rStyle w:val="FootnoteReference"/>
          <w:sz w:val="18"/>
        </w:rPr>
        <w:footnoteRef/>
      </w:r>
      <w:r w:rsidRPr="00120607">
        <w:rPr>
          <w:sz w:val="18"/>
        </w:rPr>
        <w:t xml:space="preserve"> </w:t>
      </w:r>
      <w:r w:rsidRPr="00120607">
        <w:rPr>
          <w:sz w:val="18"/>
          <w:lang w:val="en-US"/>
        </w:rPr>
        <w:t>In the case of a CSO submitting a proposal directly to the Steering Committee</w:t>
      </w:r>
    </w:p>
  </w:footnote>
  <w:footnote w:id="12">
    <w:p w14:paraId="6A5EA8A4" w14:textId="77777777" w:rsidR="00EF2EB7" w:rsidRPr="00120607" w:rsidRDefault="00EF2EB7" w:rsidP="00E7692B">
      <w:pPr>
        <w:pStyle w:val="FootnoteText"/>
        <w:rPr>
          <w:sz w:val="18"/>
        </w:rPr>
      </w:pPr>
      <w:r w:rsidRPr="00120607">
        <w:rPr>
          <w:rStyle w:val="FootnoteReference"/>
          <w:sz w:val="18"/>
        </w:rPr>
        <w:footnoteRef/>
      </w:r>
      <w:r w:rsidRPr="00120607">
        <w:rPr>
          <w:sz w:val="18"/>
        </w:rPr>
        <w:t xml:space="preserve"> A project can only contribute to one Outcome.</w:t>
      </w:r>
    </w:p>
  </w:footnote>
  <w:footnote w:id="13">
    <w:p w14:paraId="4C78920A" w14:textId="78993CEB" w:rsidR="00EF2EB7" w:rsidRPr="00120607" w:rsidRDefault="00EF2EB7" w:rsidP="00E7692B">
      <w:pPr>
        <w:pStyle w:val="FootnoteText"/>
        <w:rPr>
          <w:sz w:val="18"/>
          <w:lang w:val="en-US"/>
        </w:rPr>
      </w:pPr>
      <w:r w:rsidRPr="00120607">
        <w:rPr>
          <w:rStyle w:val="FootnoteReference"/>
          <w:sz w:val="18"/>
        </w:rPr>
        <w:footnoteRef/>
      </w:r>
      <w:r w:rsidRPr="00120607">
        <w:rPr>
          <w:sz w:val="18"/>
        </w:rPr>
        <w:t xml:space="preserve"> </w:t>
      </w:r>
      <w:r w:rsidRPr="00120607">
        <w:rPr>
          <w:sz w:val="18"/>
          <w:lang w:val="en-US"/>
        </w:rPr>
        <w:t xml:space="preserve">The Outcome will be selected from </w:t>
      </w:r>
      <w:r w:rsidR="001D584D">
        <w:rPr>
          <w:sz w:val="18"/>
          <w:lang w:val="en-US"/>
        </w:rPr>
        <w:t>WPHF’s</w:t>
      </w:r>
      <w:r w:rsidR="001D584D" w:rsidRPr="00120607">
        <w:rPr>
          <w:sz w:val="18"/>
          <w:lang w:val="en-US"/>
        </w:rPr>
        <w:t xml:space="preserve"> </w:t>
      </w:r>
      <w:r w:rsidRPr="00120607">
        <w:rPr>
          <w:sz w:val="18"/>
          <w:lang w:val="en-US"/>
        </w:rPr>
        <w:t>Results Matrix</w:t>
      </w:r>
      <w:r>
        <w:rPr>
          <w:sz w:val="18"/>
          <w:lang w:val="en-US"/>
        </w:rPr>
        <w:t xml:space="preserve"> below</w:t>
      </w:r>
    </w:p>
  </w:footnote>
  <w:footnote w:id="14">
    <w:p w14:paraId="48876A24" w14:textId="29C2F1BE" w:rsidR="00EF2EB7" w:rsidRPr="00120607" w:rsidRDefault="00EF2EB7" w:rsidP="00E7692B">
      <w:pPr>
        <w:pStyle w:val="FootnoteText"/>
        <w:rPr>
          <w:sz w:val="18"/>
          <w:lang w:val="en-US"/>
        </w:rPr>
      </w:pPr>
      <w:r w:rsidRPr="00120607">
        <w:rPr>
          <w:rStyle w:val="FootnoteReference"/>
          <w:sz w:val="18"/>
        </w:rPr>
        <w:footnoteRef/>
      </w:r>
      <w:r w:rsidRPr="00120607">
        <w:rPr>
          <w:sz w:val="18"/>
        </w:rPr>
        <w:t xml:space="preserve"> </w:t>
      </w:r>
      <w:r w:rsidRPr="00120607">
        <w:rPr>
          <w:sz w:val="18"/>
          <w:lang w:val="en-US"/>
        </w:rPr>
        <w:t xml:space="preserve">The Outcome indicator will be selected from </w:t>
      </w:r>
      <w:r w:rsidR="001D584D">
        <w:rPr>
          <w:sz w:val="18"/>
          <w:lang w:val="en-US"/>
        </w:rPr>
        <w:t>WPHF’s</w:t>
      </w:r>
      <w:r w:rsidR="001D584D" w:rsidRPr="00120607">
        <w:rPr>
          <w:sz w:val="18"/>
          <w:lang w:val="en-US"/>
        </w:rPr>
        <w:t xml:space="preserve"> </w:t>
      </w:r>
      <w:r w:rsidRPr="00120607">
        <w:rPr>
          <w:sz w:val="18"/>
          <w:lang w:val="en-US"/>
        </w:rPr>
        <w:t>Results Matrix</w:t>
      </w:r>
      <w:r>
        <w:rPr>
          <w:sz w:val="18"/>
          <w:lang w:val="en-US"/>
        </w:rPr>
        <w:t xml:space="preserve"> below</w:t>
      </w:r>
    </w:p>
  </w:footnote>
  <w:footnote w:id="15">
    <w:p w14:paraId="0DFFBF1F" w14:textId="77777777" w:rsidR="00EF2EB7" w:rsidRPr="00120607" w:rsidRDefault="00EF2EB7">
      <w:pPr>
        <w:pStyle w:val="FootnoteText"/>
        <w:rPr>
          <w:sz w:val="18"/>
          <w:lang w:val="en-US"/>
        </w:rPr>
      </w:pPr>
      <w:r w:rsidRPr="00120607">
        <w:rPr>
          <w:rStyle w:val="FootnoteReference"/>
          <w:sz w:val="18"/>
        </w:rPr>
        <w:footnoteRef/>
      </w:r>
      <w:r w:rsidRPr="00120607">
        <w:rPr>
          <w:sz w:val="18"/>
        </w:rPr>
        <w:t xml:space="preserve"> </w:t>
      </w:r>
      <w:r w:rsidRPr="00120607">
        <w:rPr>
          <w:sz w:val="18"/>
          <w:lang w:val="en-US"/>
        </w:rPr>
        <w:t>Outputs are concrete deliverables. For example, an output could be the number of women trained to monitor early warning signals.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4F0E" w14:textId="52E4B611" w:rsidR="00EF2EB7" w:rsidRDefault="0095799F" w:rsidP="00424263">
    <w:pPr>
      <w:pStyle w:val="Header"/>
      <w:jc w:val="center"/>
    </w:pPr>
    <w:r>
      <w:rPr>
        <w:noProof/>
      </w:rPr>
      <w:drawing>
        <wp:inline distT="0" distB="0" distL="0" distR="0" wp14:anchorId="1465B815" wp14:editId="54AF3083">
          <wp:extent cx="3419475" cy="51302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hf.logo.color.master.positive.jpg"/>
                  <pic:cNvPicPr/>
                </pic:nvPicPr>
                <pic:blipFill>
                  <a:blip r:embed="rId1">
                    <a:extLst>
                      <a:ext uri="{28A0092B-C50C-407E-A947-70E740481C1C}">
                        <a14:useLocalDpi xmlns:a14="http://schemas.microsoft.com/office/drawing/2010/main" val="0"/>
                      </a:ext>
                    </a:extLst>
                  </a:blip>
                  <a:stretch>
                    <a:fillRect/>
                  </a:stretch>
                </pic:blipFill>
                <pic:spPr>
                  <a:xfrm>
                    <a:off x="0" y="0"/>
                    <a:ext cx="3448929" cy="517443"/>
                  </a:xfrm>
                  <a:prstGeom prst="rect">
                    <a:avLst/>
                  </a:prstGeom>
                </pic:spPr>
              </pic:pic>
            </a:graphicData>
          </a:graphic>
        </wp:inline>
      </w:drawing>
    </w:r>
  </w:p>
  <w:p w14:paraId="2B2990D4" w14:textId="4850706A" w:rsidR="0095676C" w:rsidRDefault="0095676C" w:rsidP="00424263">
    <w:pPr>
      <w:pStyle w:val="Header"/>
      <w:jc w:val="center"/>
    </w:pPr>
  </w:p>
  <w:p w14:paraId="50F5690D" w14:textId="77777777" w:rsidR="0095676C" w:rsidRDefault="0095676C" w:rsidP="004242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6719"/>
    <w:multiLevelType w:val="hybridMultilevel"/>
    <w:tmpl w:val="89E2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A108A"/>
    <w:multiLevelType w:val="hybridMultilevel"/>
    <w:tmpl w:val="D1008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9317C"/>
    <w:multiLevelType w:val="hybridMultilevel"/>
    <w:tmpl w:val="443C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836D9"/>
    <w:multiLevelType w:val="hybridMultilevel"/>
    <w:tmpl w:val="D92C302E"/>
    <w:lvl w:ilvl="0" w:tplc="FFFFFFFF">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D3F7A"/>
    <w:multiLevelType w:val="hybridMultilevel"/>
    <w:tmpl w:val="E2800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0C5243"/>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332FC"/>
    <w:multiLevelType w:val="hybridMultilevel"/>
    <w:tmpl w:val="4A32E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9A30F0"/>
    <w:multiLevelType w:val="hybridMultilevel"/>
    <w:tmpl w:val="4E3476D0"/>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257897"/>
    <w:multiLevelType w:val="hybridMultilevel"/>
    <w:tmpl w:val="1E46A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E87EC1"/>
    <w:multiLevelType w:val="hybridMultilevel"/>
    <w:tmpl w:val="89E2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861C0"/>
    <w:multiLevelType w:val="multilevel"/>
    <w:tmpl w:val="B98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83738"/>
    <w:multiLevelType w:val="hybridMultilevel"/>
    <w:tmpl w:val="5EC65FBA"/>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D090D"/>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10B9F"/>
    <w:multiLevelType w:val="hybridMultilevel"/>
    <w:tmpl w:val="032AD34E"/>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574F0"/>
    <w:multiLevelType w:val="hybridMultilevel"/>
    <w:tmpl w:val="C1B6F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40744"/>
    <w:multiLevelType w:val="hybridMultilevel"/>
    <w:tmpl w:val="CE901504"/>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DF7463"/>
    <w:multiLevelType w:val="hybridMultilevel"/>
    <w:tmpl w:val="7D3E26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F563F"/>
    <w:multiLevelType w:val="hybridMultilevel"/>
    <w:tmpl w:val="FCD41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53A53"/>
    <w:multiLevelType w:val="hybridMultilevel"/>
    <w:tmpl w:val="830253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AE3357F"/>
    <w:multiLevelType w:val="hybridMultilevel"/>
    <w:tmpl w:val="09C64D26"/>
    <w:lvl w:ilvl="0" w:tplc="B67684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5735B4"/>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E0AED"/>
    <w:multiLevelType w:val="hybridMultilevel"/>
    <w:tmpl w:val="CB726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8"/>
  </w:num>
  <w:num w:numId="4">
    <w:abstractNumId w:val="11"/>
  </w:num>
  <w:num w:numId="5">
    <w:abstractNumId w:val="15"/>
  </w:num>
  <w:num w:numId="6">
    <w:abstractNumId w:val="13"/>
  </w:num>
  <w:num w:numId="7">
    <w:abstractNumId w:val="7"/>
  </w:num>
  <w:num w:numId="8">
    <w:abstractNumId w:val="8"/>
  </w:num>
  <w:num w:numId="9">
    <w:abstractNumId w:val="10"/>
  </w:num>
  <w:num w:numId="10">
    <w:abstractNumId w:val="21"/>
  </w:num>
  <w:num w:numId="11">
    <w:abstractNumId w:val="4"/>
  </w:num>
  <w:num w:numId="12">
    <w:abstractNumId w:val="6"/>
  </w:num>
  <w:num w:numId="13">
    <w:abstractNumId w:val="3"/>
  </w:num>
  <w:num w:numId="14">
    <w:abstractNumId w:val="19"/>
  </w:num>
  <w:num w:numId="15">
    <w:abstractNumId w:val="1"/>
  </w:num>
  <w:num w:numId="16">
    <w:abstractNumId w:val="2"/>
  </w:num>
  <w:num w:numId="17">
    <w:abstractNumId w:val="9"/>
  </w:num>
  <w:num w:numId="18">
    <w:abstractNumId w:val="12"/>
  </w:num>
  <w:num w:numId="19">
    <w:abstractNumId w:val="20"/>
  </w:num>
  <w:num w:numId="20">
    <w:abstractNumId w:val="14"/>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B4"/>
    <w:rsid w:val="0001380B"/>
    <w:rsid w:val="00015FB3"/>
    <w:rsid w:val="00027BA5"/>
    <w:rsid w:val="00054BA7"/>
    <w:rsid w:val="000565CF"/>
    <w:rsid w:val="00071653"/>
    <w:rsid w:val="00081D3D"/>
    <w:rsid w:val="000A10B5"/>
    <w:rsid w:val="000B7AA6"/>
    <w:rsid w:val="000D44B4"/>
    <w:rsid w:val="000D77C9"/>
    <w:rsid w:val="000F4AAD"/>
    <w:rsid w:val="00103BE0"/>
    <w:rsid w:val="00120607"/>
    <w:rsid w:val="001253D5"/>
    <w:rsid w:val="00125E43"/>
    <w:rsid w:val="00151945"/>
    <w:rsid w:val="001806BB"/>
    <w:rsid w:val="001841DE"/>
    <w:rsid w:val="001A4D67"/>
    <w:rsid w:val="001B51A8"/>
    <w:rsid w:val="001C73D0"/>
    <w:rsid w:val="001D584D"/>
    <w:rsid w:val="001F29CA"/>
    <w:rsid w:val="002037C6"/>
    <w:rsid w:val="00214888"/>
    <w:rsid w:val="0024403A"/>
    <w:rsid w:val="002736D0"/>
    <w:rsid w:val="0029003E"/>
    <w:rsid w:val="002B0F04"/>
    <w:rsid w:val="002D49A4"/>
    <w:rsid w:val="002E75AD"/>
    <w:rsid w:val="00311C49"/>
    <w:rsid w:val="00335278"/>
    <w:rsid w:val="00337505"/>
    <w:rsid w:val="003600B1"/>
    <w:rsid w:val="00370940"/>
    <w:rsid w:val="0037741E"/>
    <w:rsid w:val="00380673"/>
    <w:rsid w:val="003D5758"/>
    <w:rsid w:val="003D6D15"/>
    <w:rsid w:val="003E106B"/>
    <w:rsid w:val="003E1C36"/>
    <w:rsid w:val="003F121A"/>
    <w:rsid w:val="003F39CD"/>
    <w:rsid w:val="004115B6"/>
    <w:rsid w:val="00413D80"/>
    <w:rsid w:val="00424263"/>
    <w:rsid w:val="004245FF"/>
    <w:rsid w:val="00431426"/>
    <w:rsid w:val="00433728"/>
    <w:rsid w:val="00434F65"/>
    <w:rsid w:val="00481F9A"/>
    <w:rsid w:val="0048590B"/>
    <w:rsid w:val="004C31F2"/>
    <w:rsid w:val="004F0BC3"/>
    <w:rsid w:val="005001AC"/>
    <w:rsid w:val="00501742"/>
    <w:rsid w:val="00526474"/>
    <w:rsid w:val="00537365"/>
    <w:rsid w:val="0054499E"/>
    <w:rsid w:val="005475B7"/>
    <w:rsid w:val="00555CF0"/>
    <w:rsid w:val="005563CA"/>
    <w:rsid w:val="00566F4B"/>
    <w:rsid w:val="005A0242"/>
    <w:rsid w:val="005E5323"/>
    <w:rsid w:val="005F5AFC"/>
    <w:rsid w:val="005F7B35"/>
    <w:rsid w:val="00602A04"/>
    <w:rsid w:val="0061352B"/>
    <w:rsid w:val="00620110"/>
    <w:rsid w:val="00632081"/>
    <w:rsid w:val="0063721F"/>
    <w:rsid w:val="00647094"/>
    <w:rsid w:val="006479E5"/>
    <w:rsid w:val="00655B08"/>
    <w:rsid w:val="006971A0"/>
    <w:rsid w:val="006A5502"/>
    <w:rsid w:val="006E34A3"/>
    <w:rsid w:val="006E3C19"/>
    <w:rsid w:val="00717841"/>
    <w:rsid w:val="007205A1"/>
    <w:rsid w:val="00765A30"/>
    <w:rsid w:val="007737B7"/>
    <w:rsid w:val="007807F0"/>
    <w:rsid w:val="007A4E8B"/>
    <w:rsid w:val="007A6581"/>
    <w:rsid w:val="007E4257"/>
    <w:rsid w:val="007E438A"/>
    <w:rsid w:val="00801418"/>
    <w:rsid w:val="00801461"/>
    <w:rsid w:val="00807038"/>
    <w:rsid w:val="00836318"/>
    <w:rsid w:val="0084524B"/>
    <w:rsid w:val="00853C4D"/>
    <w:rsid w:val="008A05AB"/>
    <w:rsid w:val="008B0A76"/>
    <w:rsid w:val="008C1BF2"/>
    <w:rsid w:val="008C5944"/>
    <w:rsid w:val="00911C51"/>
    <w:rsid w:val="009225E3"/>
    <w:rsid w:val="0095676C"/>
    <w:rsid w:val="0095799F"/>
    <w:rsid w:val="00957B35"/>
    <w:rsid w:val="0096042C"/>
    <w:rsid w:val="009661FE"/>
    <w:rsid w:val="00974D74"/>
    <w:rsid w:val="0099066B"/>
    <w:rsid w:val="009B2C9D"/>
    <w:rsid w:val="009C018C"/>
    <w:rsid w:val="009C2889"/>
    <w:rsid w:val="00A41467"/>
    <w:rsid w:val="00AB4033"/>
    <w:rsid w:val="00AD4576"/>
    <w:rsid w:val="00B00CA8"/>
    <w:rsid w:val="00B10D74"/>
    <w:rsid w:val="00B130D5"/>
    <w:rsid w:val="00B15D1D"/>
    <w:rsid w:val="00B17333"/>
    <w:rsid w:val="00B4118D"/>
    <w:rsid w:val="00B648C6"/>
    <w:rsid w:val="00B900E8"/>
    <w:rsid w:val="00B935AB"/>
    <w:rsid w:val="00BB509D"/>
    <w:rsid w:val="00BC040F"/>
    <w:rsid w:val="00BD0265"/>
    <w:rsid w:val="00BF0A51"/>
    <w:rsid w:val="00C24DEE"/>
    <w:rsid w:val="00C36E67"/>
    <w:rsid w:val="00C423BB"/>
    <w:rsid w:val="00C674DE"/>
    <w:rsid w:val="00C73929"/>
    <w:rsid w:val="00C9024A"/>
    <w:rsid w:val="00C9106E"/>
    <w:rsid w:val="00CA4C32"/>
    <w:rsid w:val="00CA67A6"/>
    <w:rsid w:val="00CC3B2C"/>
    <w:rsid w:val="00CE6BCC"/>
    <w:rsid w:val="00CF0C3B"/>
    <w:rsid w:val="00D336C3"/>
    <w:rsid w:val="00D618C5"/>
    <w:rsid w:val="00D86AF7"/>
    <w:rsid w:val="00DB69B4"/>
    <w:rsid w:val="00DC061D"/>
    <w:rsid w:val="00DC1BB4"/>
    <w:rsid w:val="00DE26A7"/>
    <w:rsid w:val="00DE27B2"/>
    <w:rsid w:val="00DF1E39"/>
    <w:rsid w:val="00E1031C"/>
    <w:rsid w:val="00E17B9B"/>
    <w:rsid w:val="00E20849"/>
    <w:rsid w:val="00E30F95"/>
    <w:rsid w:val="00E4104B"/>
    <w:rsid w:val="00E43D57"/>
    <w:rsid w:val="00E55137"/>
    <w:rsid w:val="00E56D45"/>
    <w:rsid w:val="00E632C4"/>
    <w:rsid w:val="00E72F28"/>
    <w:rsid w:val="00E73428"/>
    <w:rsid w:val="00E7692B"/>
    <w:rsid w:val="00E77D4A"/>
    <w:rsid w:val="00EB2917"/>
    <w:rsid w:val="00EB658F"/>
    <w:rsid w:val="00EE1C70"/>
    <w:rsid w:val="00EE3BB9"/>
    <w:rsid w:val="00EF1BA8"/>
    <w:rsid w:val="00EF2EB7"/>
    <w:rsid w:val="00F014BA"/>
    <w:rsid w:val="00F117AB"/>
    <w:rsid w:val="00F3097C"/>
    <w:rsid w:val="00F51974"/>
    <w:rsid w:val="00F731F5"/>
    <w:rsid w:val="00FD39B4"/>
    <w:rsid w:val="00FD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DCD0"/>
  <w15:chartTrackingRefBased/>
  <w15:docId w15:val="{543A668D-E122-4BF7-87CE-B95FBB27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
    <w:basedOn w:val="Normal"/>
    <w:uiPriority w:val="34"/>
    <w:qFormat/>
    <w:rsid w:val="000D44B4"/>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ADB"/>
    <w:basedOn w:val="Normal"/>
    <w:link w:val="FootnoteTextChar"/>
    <w:unhideWhenUsed/>
    <w:rsid w:val="00081D3D"/>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ADB Char"/>
    <w:basedOn w:val="DefaultParagraphFont"/>
    <w:link w:val="FootnoteText"/>
    <w:rsid w:val="00081D3D"/>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nhideWhenUsed/>
    <w:rsid w:val="00081D3D"/>
    <w:rPr>
      <w:vertAlign w:val="superscript"/>
      <w:lang w:val="en-GB" w:eastAsia="en-GB"/>
    </w:rPr>
  </w:style>
  <w:style w:type="paragraph" w:customStyle="1" w:styleId="Char2">
    <w:name w:val="Char2"/>
    <w:basedOn w:val="Normal"/>
    <w:link w:val="FootnoteReference"/>
    <w:rsid w:val="00081D3D"/>
    <w:pPr>
      <w:spacing w:line="240" w:lineRule="exact"/>
    </w:pPr>
    <w:rPr>
      <w:vertAlign w:val="superscript"/>
      <w:lang w:val="en-GB" w:eastAsia="en-GB"/>
    </w:rPr>
  </w:style>
  <w:style w:type="character" w:styleId="CommentReference">
    <w:name w:val="annotation reference"/>
    <w:basedOn w:val="DefaultParagraphFont"/>
    <w:uiPriority w:val="99"/>
    <w:semiHidden/>
    <w:unhideWhenUsed/>
    <w:rsid w:val="00F731F5"/>
    <w:rPr>
      <w:sz w:val="16"/>
      <w:szCs w:val="16"/>
    </w:rPr>
  </w:style>
  <w:style w:type="paragraph" w:styleId="CommentText">
    <w:name w:val="annotation text"/>
    <w:basedOn w:val="Normal"/>
    <w:link w:val="CommentTextChar"/>
    <w:uiPriority w:val="99"/>
    <w:semiHidden/>
    <w:unhideWhenUsed/>
    <w:rsid w:val="00F731F5"/>
    <w:pPr>
      <w:spacing w:line="240" w:lineRule="auto"/>
    </w:pPr>
    <w:rPr>
      <w:sz w:val="20"/>
      <w:szCs w:val="20"/>
    </w:rPr>
  </w:style>
  <w:style w:type="character" w:customStyle="1" w:styleId="CommentTextChar">
    <w:name w:val="Comment Text Char"/>
    <w:basedOn w:val="DefaultParagraphFont"/>
    <w:link w:val="CommentText"/>
    <w:uiPriority w:val="99"/>
    <w:semiHidden/>
    <w:rsid w:val="00F731F5"/>
    <w:rPr>
      <w:sz w:val="20"/>
      <w:szCs w:val="20"/>
    </w:rPr>
  </w:style>
  <w:style w:type="paragraph" w:styleId="CommentSubject">
    <w:name w:val="annotation subject"/>
    <w:basedOn w:val="CommentText"/>
    <w:next w:val="CommentText"/>
    <w:link w:val="CommentSubjectChar"/>
    <w:uiPriority w:val="99"/>
    <w:semiHidden/>
    <w:unhideWhenUsed/>
    <w:rsid w:val="00F731F5"/>
    <w:rPr>
      <w:b/>
      <w:bCs/>
    </w:rPr>
  </w:style>
  <w:style w:type="character" w:customStyle="1" w:styleId="CommentSubjectChar">
    <w:name w:val="Comment Subject Char"/>
    <w:basedOn w:val="CommentTextChar"/>
    <w:link w:val="CommentSubject"/>
    <w:uiPriority w:val="99"/>
    <w:semiHidden/>
    <w:rsid w:val="00F731F5"/>
    <w:rPr>
      <w:b/>
      <w:bCs/>
      <w:sz w:val="20"/>
      <w:szCs w:val="20"/>
    </w:rPr>
  </w:style>
  <w:style w:type="paragraph" w:styleId="BalloonText">
    <w:name w:val="Balloon Text"/>
    <w:basedOn w:val="Normal"/>
    <w:link w:val="BalloonTextChar"/>
    <w:uiPriority w:val="99"/>
    <w:semiHidden/>
    <w:unhideWhenUsed/>
    <w:rsid w:val="00F73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1F5"/>
    <w:rPr>
      <w:rFonts w:ascii="Segoe UI" w:hAnsi="Segoe UI" w:cs="Segoe UI"/>
      <w:sz w:val="18"/>
      <w:szCs w:val="18"/>
    </w:rPr>
  </w:style>
  <w:style w:type="paragraph" w:styleId="Title">
    <w:name w:val="Title"/>
    <w:basedOn w:val="Normal"/>
    <w:link w:val="TitleChar"/>
    <w:uiPriority w:val="10"/>
    <w:qFormat/>
    <w:rsid w:val="005A0242"/>
    <w:pPr>
      <w:spacing w:after="0" w:line="240" w:lineRule="auto"/>
      <w:jc w:val="center"/>
    </w:pPr>
    <w:rPr>
      <w:rFonts w:ascii="Arial" w:eastAsia="Times New Roman" w:hAnsi="Arial" w:cs="Times New Roman"/>
      <w:b/>
      <w:sz w:val="28"/>
      <w:szCs w:val="20"/>
      <w:lang w:val="en-GB" w:eastAsia="en-GB"/>
    </w:rPr>
  </w:style>
  <w:style w:type="character" w:customStyle="1" w:styleId="TitleChar">
    <w:name w:val="Title Char"/>
    <w:basedOn w:val="DefaultParagraphFont"/>
    <w:link w:val="Title"/>
    <w:uiPriority w:val="10"/>
    <w:rsid w:val="005A0242"/>
    <w:rPr>
      <w:rFonts w:ascii="Arial" w:eastAsia="Times New Roman" w:hAnsi="Arial" w:cs="Times New Roman"/>
      <w:b/>
      <w:sz w:val="28"/>
      <w:szCs w:val="20"/>
      <w:lang w:val="en-GB" w:eastAsia="en-GB"/>
    </w:rPr>
  </w:style>
  <w:style w:type="paragraph" w:customStyle="1" w:styleId="BVIfnrChar">
    <w:name w:val="BVI fnr Char"/>
    <w:aliases w:val="BVI fnr Car Car Char,BVI fnr Char Car Car Car Char,BVI fnr Char Car Car Car Char Char,BVI fnr Car Char,BVI fnr Car Car Car Car Char,BVI fnr Char Char Char,BVI fnr Car Car Char Char Char"/>
    <w:basedOn w:val="Normal"/>
    <w:rsid w:val="00125E43"/>
    <w:pPr>
      <w:spacing w:line="240" w:lineRule="exact"/>
    </w:pPr>
    <w:rPr>
      <w:rFonts w:ascii="Calibri" w:eastAsia="Times New Roman" w:hAnsi="Calibri" w:cs="Times New Roman"/>
      <w:sz w:val="20"/>
      <w:szCs w:val="20"/>
      <w:vertAlign w:val="superscript"/>
      <w:lang w:val="x-none" w:eastAsia="x-none"/>
    </w:rPr>
  </w:style>
  <w:style w:type="character" w:styleId="Hyperlink">
    <w:name w:val="Hyperlink"/>
    <w:basedOn w:val="DefaultParagraphFont"/>
    <w:uiPriority w:val="99"/>
    <w:unhideWhenUsed/>
    <w:rsid w:val="00FD39B4"/>
    <w:rPr>
      <w:color w:val="0563C1" w:themeColor="hyperlink"/>
      <w:u w:val="single"/>
    </w:rPr>
  </w:style>
  <w:style w:type="paragraph" w:styleId="NormalWeb">
    <w:name w:val="Normal (Web)"/>
    <w:basedOn w:val="Normal"/>
    <w:uiPriority w:val="99"/>
    <w:unhideWhenUsed/>
    <w:rsid w:val="000716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7692B"/>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rsid w:val="00E7692B"/>
    <w:rPr>
      <w:rFonts w:ascii="Calibri" w:eastAsia="MS Mincho" w:hAnsi="Calibri" w:cs="Times New Roman"/>
      <w:lang w:val="en-GB" w:eastAsia="en-GB"/>
    </w:rPr>
  </w:style>
  <w:style w:type="paragraph" w:customStyle="1" w:styleId="ColorfulList-Accent11">
    <w:name w:val="Colorful List - Accent 11"/>
    <w:basedOn w:val="Normal"/>
    <w:uiPriority w:val="99"/>
    <w:rsid w:val="00E7692B"/>
    <w:pPr>
      <w:widowControl w:val="0"/>
      <w:spacing w:after="0" w:line="240" w:lineRule="auto"/>
      <w:ind w:left="720"/>
      <w:jc w:val="both"/>
    </w:pPr>
    <w:rPr>
      <w:rFonts w:ascii="Arial" w:eastAsia="Times New Roman" w:hAnsi="Arial" w:cs="Times New Roman"/>
      <w:szCs w:val="20"/>
      <w:lang w:val="en-GB" w:eastAsia="en-GB"/>
    </w:rPr>
  </w:style>
  <w:style w:type="paragraph" w:styleId="Footer">
    <w:name w:val="footer"/>
    <w:basedOn w:val="Normal"/>
    <w:link w:val="FooterChar"/>
    <w:uiPriority w:val="99"/>
    <w:unhideWhenUsed/>
    <w:rsid w:val="00BC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0F"/>
  </w:style>
  <w:style w:type="paragraph" w:styleId="Revision">
    <w:name w:val="Revision"/>
    <w:hidden/>
    <w:uiPriority w:val="99"/>
    <w:semiHidden/>
    <w:rsid w:val="00566F4B"/>
    <w:pPr>
      <w:spacing w:after="0" w:line="240" w:lineRule="auto"/>
    </w:pPr>
  </w:style>
  <w:style w:type="table" w:styleId="TableGrid">
    <w:name w:val="Table Grid"/>
    <w:basedOn w:val="TableNormal"/>
    <w:uiPriority w:val="39"/>
    <w:rsid w:val="007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17AB"/>
    <w:rPr>
      <w:color w:val="954F72" w:themeColor="followedHyperlink"/>
      <w:u w:val="single"/>
    </w:rPr>
  </w:style>
  <w:style w:type="character" w:styleId="UnresolvedMention">
    <w:name w:val="Unresolved Mention"/>
    <w:basedOn w:val="DefaultParagraphFont"/>
    <w:uiPriority w:val="99"/>
    <w:semiHidden/>
    <w:unhideWhenUsed/>
    <w:rsid w:val="009567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31994">
      <w:bodyDiv w:val="1"/>
      <w:marLeft w:val="0"/>
      <w:marRight w:val="0"/>
      <w:marTop w:val="0"/>
      <w:marBottom w:val="0"/>
      <w:divBdr>
        <w:top w:val="none" w:sz="0" w:space="0" w:color="auto"/>
        <w:left w:val="none" w:sz="0" w:space="0" w:color="auto"/>
        <w:bottom w:val="none" w:sz="0" w:space="0" w:color="auto"/>
        <w:right w:val="none" w:sz="0" w:space="0" w:color="auto"/>
      </w:divBdr>
    </w:div>
    <w:div w:id="19647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neval.org/papersandpubs/documentdetail.jsp?doc_id=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cd.org/dataoecd/29/21/275480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cceleratePea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ptf.undp.org/factsheet/fund/GAI00" TargetMode="External"/><Relationship Id="rId4" Type="http://schemas.openxmlformats.org/officeDocument/2006/relationships/settings" Target="settings.xml"/><Relationship Id="rId9" Type="http://schemas.openxmlformats.org/officeDocument/2006/relationships/hyperlink" Target="mailto:titiana.marawa@unwomen.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5081-6E18-49F0-8B6B-38F2EB98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Fisher</dc:creator>
  <cp:keywords/>
  <dc:description/>
  <cp:lastModifiedBy>Anne Michelle Rehagen</cp:lastModifiedBy>
  <cp:revision>15</cp:revision>
  <cp:lastPrinted>2016-09-26T15:04:00Z</cp:lastPrinted>
  <dcterms:created xsi:type="dcterms:W3CDTF">2017-12-08T00:21:00Z</dcterms:created>
  <dcterms:modified xsi:type="dcterms:W3CDTF">2018-01-03T20:26:00Z</dcterms:modified>
</cp:coreProperties>
</file>